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t xml:space="preserve">Заголовок A</w:t>
            </w:r>
          </w:p>
        </w:tc>
        <w:tc>
          <w:tcPr>
            <w:tcW w:w="4680" w:type="dxa"/>
          </w:tcPr>
          <w:p>
            <w:r>
              <w:t xml:space="preserve">Заголовок B</w:t>
            </w:r>
          </w:p>
        </w:tc>
      </w:tr>
      <w:tr>
        <w:tc>
          <w:tcPr>
            <w:tcW w:w="4680" w:type="dxa"/>
          </w:tcPr>
          <w:p>
            <w:r>
              <w:t xml:space="preserve">A2</w:t>
            </w:r>
          </w:p>
        </w:tc>
        <w:tc>
          <w:tcPr>
            <w:tcW w:w="4680" w:type="dxa"/>
          </w:tcPr>
          <w:p>
            <w:r>
              <w:t xml:space="preserve">B2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table" w:customStyle="1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w:tblLook с флагами первой строки, последней строки и первого столбца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