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Первый список, пункт 1</w:t>
      </w:r>
    </w:p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Первый список, пункт 2</w:t>
      </w:r>
    </w:p>
    <w:p>
      <w:pPr>
        <w:pStyle w:val="ListParagraph"/>
        <w:numPr>
          <w:ilvl w:val="0"/>
          <w:numId w:val="2"/>
        </w:numPr>
      </w:pPr>
      <w:r>
        <w:rPr>
          <w:rStyle w:val="ListParagraph"/>
        </w:rPr>
        <w:t xml:space="preserve">Второй список, пункт 1</w:t>
      </w:r>
    </w:p>
    <w:p>
      <w:pPr>
        <w:pStyle w:val="ListParagraph"/>
        <w:numPr>
          <w:ilvl w:val="0"/>
          <w:numId w:val="2"/>
        </w:numPr>
      </w:pPr>
      <w:r>
        <w:rPr>
          <w:rStyle w:val="ListParagraph"/>
        </w:rPr>
        <w:t xml:space="preserve">Второй список, пункт 2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nsid w:val="1A2B3C4D"/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0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ListParagraph">
    <w:name w:val="List Paragraph"/>
    <w:basedOn w:val="Normal"/>
    <w:uiPriority w:val="34"/>
    <w:qFormat/>
    <w:pPr>
      <w:contextualSpacing/>
      <w:ind w:left="72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Два num на одном abstractNum: второй перезапускает нумерацию через startOverride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