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Heading1"/>
      </w:pPr>
      <w:r>
        <w:rPr>
          <w:rStyle w:val="Heading1"/>
        </w:rPr>
        <w:t xml:space="preserve">Доступность документа</w:t>
      </w:r>
    </w:p>
    <w:p>
      <w:r>
        <w:t xml:space="preserve">Этот документ проверяет структуру, которую видят экранные дикторы и автоматические аудиторы.</w:t>
      </w:r>
    </w:p>
    <w:p>
      <w:r>
        <w:t xml:space="preserve">Полное руководство: </w:t>
      </w:r>
      <w:hyperlink r:id="rIdA11yLink" w:history="1">
        <w:r>
          <w:rPr>
            <w:rStyle w:val="Hyperlink"/>
          </w:rPr>
          <w:t xml:space="preserve">Руководство по доступности</w:t>
        </w:r>
      </w:hyperlink>
    </w:p>
    <w:p>
      <w:r>
        <w:t xml:space="preserve">Версия макета: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Структура заголовков</w:t>
      </w:r>
    </w:p>
    <w:p>
      <w:r>
        <w:t xml:space="preserve">Заголовок первого уровня задаёт раздел, второго — подраздел внутри него.</w:t>
      </w:r>
    </w:p>
    <w:p>
      <w:r>
        <w:t xml:space="preserve">Экранный диктор перечисляет заголовки в порядке документа и позволяет перейти к нужному разделу.</w:t>
      </w:r>
    </w:p>
    <w:p>
      <w:r>
        <w:t xml:space="preserve">Пропуск уровня ломает навигацию, поэтому иерархия в этом документе непрерывна.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Нумерованный список</w:t>
      </w:r>
    </w:p>
    <w:p>
      <w:r>
        <w:t xml:space="preserve">Порядок пунктов важен: диктор объявляет номер пункта и общее количество.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Проверить иерархию заголовков.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Прочитать текст с экранным диктором.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Пройти по ссылкам клавишей Tab.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Сверить объявления таблиц.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Маркированный список</w:t>
      </w:r>
    </w:p>
    <w:p>
      <w:r>
        <w:t xml:space="preserve">Маркеры не задают порядок, но диктор всё равно объявляет список.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Заголовки и подзаголовки.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Основной текст и примечания.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Ссылки и поля.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Таблица с объединёнными ячейками</w:t>
      </w:r>
    </w:p>
    <w:p>
      <w:r>
        <w:t xml:space="preserve">Шапка помечена как заголовочная строка и повторяется, если таблица переносится на следующую страницу.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Компонент</w:t>
            </w:r>
          </w:p>
        </w:tc>
        <w:tc>
          <w:tcPr>
            <w:tcW w:w="3000" w:type="dxa"/>
          </w:tcPr>
          <w:p>
            <w:r>
              <w:t xml:space="preserve">Критерий</w:t>
            </w:r>
          </w:p>
        </w:tc>
        <w:tc>
          <w:tcPr>
            <w:tcW w:w="3000" w:type="dxa"/>
          </w:tcPr>
          <w:p>
            <w:r>
              <w:t xml:space="preserve">Статус</w:t>
            </w:r>
          </w:p>
        </w:tc>
      </w:tr>
      <w:tr>
        <w:tc>
          <w:tcPr>
            <w:tcW w:w="6000" w:type="dxa"/>
            <w:gridSpan w:val="2"/>
          </w:tcPr>
          <w:p>
            <w:r>
              <w:t xml:space="preserve">Клавиатурная навигация</w:t>
            </w:r>
          </w:p>
        </w:tc>
        <w:tc>
          <w:tcPr>
            <w:tcW w:w="3000" w:type="dxa"/>
          </w:tcPr>
          <w:p>
            <w:r>
              <w:t xml:space="preserve">Пройдено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Экранный диктор</w:t>
            </w:r>
          </w:p>
        </w:tc>
        <w:tc>
          <w:tcPr>
            <w:tcW w:w="3000" w:type="dxa"/>
          </w:tcPr>
          <w:p>
            <w:r>
              <w:t xml:space="preserve">NVDA</w:t>
            </w:r>
          </w:p>
        </w:tc>
        <w:tc>
          <w:tcPr>
            <w:tcW w:w="3000" w:type="dxa"/>
          </w:tcPr>
          <w:p>
            <w:r>
              <w:t xml:space="preserve">Пройдено</w:t>
            </w:r>
          </w:p>
        </w:tc>
      </w:tr>
      <w:tr>
        <w:tc>
          <w:tcPr>
            <w:tcW w:w="3000" w:type="dxa"/>
            <w:vMerge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VoiceOver</w:t>
            </w:r>
          </w:p>
        </w:tc>
        <w:tc>
          <w:tcPr>
            <w:tcW w:w="3000" w:type="dxa"/>
          </w:tcPr>
          <w:p>
            <w:r>
              <w:t xml:space="preserve">В работе</w:t>
            </w:r>
          </w:p>
        </w:tc>
      </w:tr>
    </w:tbl>
    <w:p>
      <w:r>
        <w:t xml:space="preserve">Объединения по горизонтали и вертикали сохраняют связи между ячейками.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Таблица проверок</w:t>
      </w:r>
    </w:p>
    <w:p>
      <w:r>
        <w:t xml:space="preserve">Каждая строка описывает одну проверку и ожидаемый результат.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t xml:space="preserve">Проверка</w:t>
            </w:r>
          </w:p>
        </w:tc>
        <w:tc>
          <w:tcPr>
            <w:tcW w:w="4500" w:type="dxa"/>
          </w:tcPr>
          <w:p>
            <w:r>
              <w:t xml:space="preserve">Ожидание</w:t>
            </w:r>
          </w:p>
        </w:tc>
      </w:tr>
      <w:tr>
        <w:tc>
          <w:tcPr>
            <w:tcW w:w="4500" w:type="dxa"/>
          </w:tcPr>
          <w:p>
            <w:r>
              <w:t xml:space="preserve">Порядок заголовков</w:t>
            </w:r>
          </w:p>
        </w:tc>
        <w:tc>
          <w:tcPr>
            <w:tcW w:w="4500" w:type="dxa"/>
          </w:tcPr>
          <w:p>
            <w:r>
              <w:t xml:space="preserve">H1 и H2 без пропусков</w:t>
            </w:r>
          </w:p>
        </w:tc>
      </w:tr>
      <w:tr>
        <w:tc>
          <w:tcPr>
            <w:tcW w:w="4500" w:type="dxa"/>
          </w:tcPr>
          <w:p>
            <w:r>
              <w:t xml:space="preserve">Имена элементов</w:t>
            </w:r>
          </w:p>
        </w:tc>
        <w:tc>
          <w:tcPr>
            <w:tcW w:w="4500" w:type="dxa"/>
          </w:tcPr>
          <w:p>
            <w:r>
              <w:t xml:space="preserve">У ссылок и полей есть текст</w:t>
            </w:r>
          </w:p>
        </w:tc>
      </w:tr>
      <w:tr>
        <w:tc>
          <w:tcPr>
            <w:tcW w:w="9000" w:type="dxa"/>
            <w:gridSpan w:val="2"/>
          </w:tcPr>
          <w:p>
            <w:r>
              <w:t xml:space="preserve">Все проверки пройдены</w:t>
            </w:r>
          </w:p>
        </w:tc>
      </w:tr>
    </w:tbl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Таблица платформ</w:t>
      </w:r>
    </w:p>
    <w:p>
      <w:r>
        <w:t xml:space="preserve">Проверки выполняются на двух платформах с разными дикторами.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t xml:space="preserve">Платформа</w:t>
            </w:r>
          </w:p>
        </w:tc>
        <w:tc>
          <w:tcPr>
            <w:tcW w:w="4500" w:type="dxa"/>
          </w:tcPr>
          <w:p>
            <w:r>
              <w:t xml:space="preserve">Диктор</w:t>
            </w:r>
          </w:p>
        </w:tc>
      </w:tr>
      <w:tr>
        <w:tc>
          <w:tcPr>
            <w:tcW w:w="4500" w:type="dxa"/>
          </w:tcPr>
          <w:p>
            <w:r>
              <w:t xml:space="preserve">Windows</w:t>
            </w:r>
          </w:p>
        </w:tc>
        <w:tc>
          <w:tcPr>
            <w:tcW w:w="4500" w:type="dxa"/>
          </w:tcPr>
          <w:p>
            <w:r>
              <w:t xml:space="preserve">NVDA</w:t>
            </w:r>
          </w:p>
        </w:tc>
      </w:tr>
      <w:tr>
        <w:tc>
          <w:tcPr>
            <w:tcW w:w="4500" w:type="dxa"/>
          </w:tcPr>
          <w:p>
            <w:r>
              <w:t xml:space="preserve">macOS</w:t>
            </w:r>
          </w:p>
        </w:tc>
        <w:tc>
          <w:tcPr>
            <w:tcW w:w="4500" w:type="dxa"/>
          </w:tcPr>
          <w:p>
            <w:r>
              <w:t xml:space="preserve">VoiceOver</w:t>
            </w:r>
          </w:p>
        </w:tc>
      </w:tr>
    </w:tbl>
    <w:p>
      <w:r>
        <w:t xml:space="preserve">Расхождения записываются в журнал доступности.</w:t>
      </w:r>
    </w:p>
    <w:p>
      <w:pPr>
        <w:rPr/>
      </w:pPr>
      <w:r>
        <w:br w:type="page"/>
      </w:r>
    </w:p>
    <w:p>
      <w:pPr>
        <w:pStyle w:val="Heading1"/>
      </w:pPr>
      <w:r>
        <w:rPr>
          <w:rStyle w:val="Heading1"/>
        </w:rPr>
        <w:t xml:space="preserve">Работа с экранным диктором</w:t>
      </w:r>
    </w:p>
    <w:p>
      <w:r>
        <w:t xml:space="preserve">Диктор читает документ в том порядке, в котором блоки записаны в теле.</w:t>
      </w:r>
    </w:p>
    <w:p>
      <w:r>
        <w:t xml:space="preserve">Визуальный порядок совпадает с логическим: таблицы не разрывают поток текста.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NVDA</w:t>
      </w:r>
    </w:p>
    <w:p>
      <w:r>
        <w:t xml:space="preserve">На Windows проверка идёт в NVDA с включённым режимом обзора.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Открыть документ и дождаться окончания разбора.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Проверить список заголовков клавишей Insert+F7.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Перейти к каждой таблице и прочитать шапку.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VoiceOver</w:t>
      </w:r>
    </w:p>
    <w:p>
      <w:r>
        <w:t xml:space="preserve">На macOS проверка идёт в VoiceOver с ротором по заголовкам и таблицам.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Убедиться, что H1 объявляется как заголовок первого уровня.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Проверить, что ссылка открывается клавишей Enter.</w:t>
      </w:r>
    </w:p>
    <w:p>
      <w:pPr>
        <w:pStyle w:val="ListParagraph"/>
        <w:numPr>
          <w:ilvl w:val="1"/>
          <w:numId w:val="2"/>
        </w:numPr>
      </w:pPr>
      <w:r>
        <w:rPr>
          <w:rStyle w:val="ListParagraph"/>
        </w:rPr>
        <w:t xml:space="preserve">Пройти ротором по спискам.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Вернуться к началу документа.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Порядок фокуса</w:t>
      </w:r>
    </w:p>
    <w:p>
      <w:r>
        <w:t xml:space="preserve">Фокус движется сверху вниз и слева направо, совпадая с порядком чтения.</w:t>
      </w:r>
    </w:p>
    <w:p>
      <w:r>
        <w:t xml:space="preserve">Ссылка получает фокус после текста, в котором она упомянута.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Клавиатурные сокращения</w:t>
      </w:r>
    </w:p>
    <w:p>
      <w:r>
        <w:t xml:space="preserve">Все действия доступны с клавиатуры: мышь не обязательна.</w:t>
      </w:r>
    </w:p>
    <w:p>
      <w:r>
        <w:t xml:space="preserve">Tab перемещает фокус, Shift+Tab возвращает его назад.</w:t>
      </w:r>
    </w:p>
    <w:p>
      <w:r>
        <w:t xml:space="preserve">Enter активирует ссылку, Escape закрывает временные панели.</w:t>
      </w:r>
    </w:p>
    <w:p>
      <w:pPr>
        <w:rPr/>
      </w:pPr>
      <w:r>
        <w:br w:type="page"/>
      </w:r>
    </w:p>
    <w:p>
      <w:pPr>
        <w:pStyle w:val="Heading1"/>
      </w:pPr>
      <w:r>
        <w:rPr>
          <w:rStyle w:val="Heading1"/>
        </w:rPr>
        <w:t xml:space="preserve">Клавиатурная навигация</w:t>
      </w:r>
    </w:p>
    <w:p>
      <w:r>
        <w:t xml:space="preserve">Раздел описывает перемещение по длинному документу без прокрутки мышью.</w:t>
      </w:r>
    </w:p>
    <w:p>
      <w:r>
        <w:t xml:space="preserve">Каждый интерактивный элемент достижим и имеет видимую рамку фокуса.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Перемещение по документу</w:t>
      </w:r>
    </w:p>
    <w:p>
      <w:r>
        <w:t xml:space="preserve">Навигация строится на заголовках, списках и таблицах.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Перейти к следующему заголовку.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Перейти к следующему списку.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Перейти к следующей таблице.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Пропуск блоков</w:t>
      </w:r>
    </w:p>
    <w:p>
      <w:r>
        <w:t xml:space="preserve">Ссылки «перейти к содержимому» позволяют пропустить повторяющиеся блоки.</w:t>
      </w:r>
    </w:p>
    <w:p>
      <w:r>
        <w:t xml:space="preserve">В этом документе повторяющихся блоков нет, поэтому пропуск ведёт к первому заголовку.</w:t>
      </w:r>
    </w:p>
    <w:p>
      <w:pPr>
        <w:rPr/>
      </w:pPr>
      <w:r>
        <w:br w:type="page"/>
      </w:r>
    </w:p>
    <w:p>
      <w:pPr>
        <w:pStyle w:val="Heading1"/>
      </w:pPr>
      <w:r>
        <w:rPr>
          <w:rStyle w:val="Heading1"/>
        </w:rPr>
        <w:t xml:space="preserve">Контраст и масштабирование</w:t>
      </w:r>
    </w:p>
    <w:p>
      <w:r>
        <w:t xml:space="preserve">Текст остаётся читаемым при масштабе до 200 процентов без горизонтальной прокрутки.</w:t>
      </w:r>
    </w:p>
    <w:p>
      <w:r>
        <w:t xml:space="preserve">Цвет не единственный носитель смысла: статусы продублированы текстом.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Цветовые токены</w:t>
      </w:r>
    </w:p>
    <w:p>
      <w:r>
        <w:t xml:space="preserve">Палитра проверена на контраст основного текста и фона.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Основной текст: не ниже 4.5 к 1.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Крупный текст: не ниже 3 к 1.</w:t>
      </w:r>
    </w:p>
    <w:p>
      <w:pPr>
        <w:pStyle w:val="ListParagraph"/>
        <w:numPr>
          <w:ilvl w:val="0"/>
          <w:numId w:val="2"/>
        </w:numPr>
      </w:pPr>
      <w:r>
        <w:rPr>
          <w:rStyle w:val="ListParagraph"/>
        </w:rPr>
        <w:t xml:space="preserve">Рамка фокуса: не ниже 3 к 1.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Масштаб 200 процентов</w:t>
      </w:r>
    </w:p>
    <w:p>
      <w:r>
        <w:t xml:space="preserve">При увеличении текст переносится по словам, а таблицы не выходят за поля.</w:t>
      </w:r>
    </w:p>
    <w:p>
      <w:r>
        <w:t xml:space="preserve">Горизонтальная прокрутка страницы не появляется.</w:t>
      </w:r>
    </w:p>
    <w:p>
      <w:pPr>
        <w:rPr/>
      </w:pPr>
      <w:r>
        <w:br w:type="page"/>
      </w:r>
    </w:p>
    <w:p>
      <w:pPr>
        <w:pStyle w:val="Heading1"/>
      </w:pPr>
      <w:r>
        <w:rPr>
          <w:rStyle w:val="Heading1"/>
        </w:rPr>
        <w:t xml:space="preserve">Чек-лист проверки</w:t>
      </w:r>
    </w:p>
    <w:p>
      <w:r>
        <w:t xml:space="preserve">Итоговый список повторяет шаги приёмки.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Проверить иерархию заголовков.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Прочитать все таблицы с шапкой.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Пройти по ссылкам и полям.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Проверить контраст и масштаб.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Записать результат в журнал.</w:t>
      </w:r>
    </w:p>
    <w:p>
      <w:pPr>
        <w:rPr/>
      </w:pPr>
      <w:r>
        <w:br w:type="page"/>
      </w:r>
    </w:p>
    <w:p>
      <w:pPr>
        <w:pStyle w:val="Heading2"/>
      </w:pPr>
      <w:r>
        <w:rPr>
          <w:rStyle w:val="Heading2"/>
        </w:rPr>
        <w:t xml:space="preserve">Итог</w:t>
      </w:r>
    </w:p>
    <w:p>
      <w:r>
        <w:t xml:space="preserve">Документ покрывает структуру, списки, таблицы, ссылки и масштабирование.</w:t>
      </w:r>
    </w:p>
    <w:p>
      <w:r>
        <w:t xml:space="preserve">Результаты проверки переносятся в общий отчёт доступности.</w:t>
      </w:r>
    </w:p>
    <w:p>
      <w:r>
        <w:t xml:space="preserve">Стандарт: </w:t>
      </w:r>
      <w:hyperlink r:id="rIdA11yLink" w:history="1">
        <w:r>
          <w:rPr>
            <w:rStyle w:val="Hyperlink"/>
          </w:rPr>
          <w:t xml:space="preserve">Web Content Accessibility Guidelines</w:t>
        </w:r>
      </w:hyperlink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</w:abstractNum>
  <w:abstractNum w:abstractNumId="1">
    <w:nsid w:val="1A2C3C4E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A11yLink" Type="http://schemas.openxmlformats.org/officeDocument/2006/relationships/hyperlink" Target="https://example.com/a11y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страниц для NVDA/VoiceOver и axe: заголовки H1/H2, списки, таблицы с шапкой и объединениями, ссылка и поле PAGE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