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Điều 1. Phạm vi áp dụng và đối tượng quản lý.</w:t>
      </w:r>
    </w:p>
  </w:body>
  <w:body>
    <w:p>
      <w:r>
        <w:t>Quy định này áp dụng cho doanh nghiệp cung cấp dịch vụ trò chơi trực tuyến.</w:t>
      </w:r>
    </w:p>
  </w:body>
  <w:body>
    <w:p>
      <w:r>
        <w:t>Điều 2. Yêu cầu bảo vệ người chơi vị thành niên.</w:t>
      </w:r>
    </w:p>
  </w:body>
  <w:body>
    <w:p>
      <w:r>
        <w:t>Hệ thống phải xác minh độ tuổi trước khi cho phép truy cập nội dung có giới hạn độ tuổi.</w:t>
      </w:r>
    </w:p>
  </w:body>
</w:document>
</file>