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CyberHealth Solutions - Password Policy Guide</w:t>
      </w:r>
    </w:p>
    <w:p>
      <w:pPr>
        <w:pStyle w:val="Heading1"/>
      </w:pPr>
      <w:r>
        <w:t>1. Purpose</w:t>
      </w:r>
    </w:p>
    <w:p>
      <w:r>
        <w:t>To establish requirements for the creation, protection, and management of strong passwords.</w:t>
      </w:r>
    </w:p>
    <w:p>
      <w:pPr>
        <w:pStyle w:val="Heading1"/>
      </w:pPr>
      <w:r>
        <w:t>2. Scope</w:t>
      </w:r>
    </w:p>
    <w:p>
      <w:r>
        <w:t>Applies to all users with access to systems, applications, and devices managed by CyberHealth Solutions.</w:t>
      </w:r>
    </w:p>
    <w:p>
      <w:pPr>
        <w:pStyle w:val="Heading1"/>
      </w:pPr>
      <w:r>
        <w:t>3. Password Requirements</w:t>
      </w:r>
    </w:p>
    <w:p>
      <w:r>
        <w:br/>
        <w:t>- Minimum 12 characters.</w:t>
        <w:br/>
        <w:t>- At least one uppercase, one lowercase, one number, and one special character.</w:t>
        <w:br/>
        <w:t>- No reuse of the last 5 passwords.</w:t>
        <w:br/>
        <w:t>- Change passwords every 90 days.</w:t>
        <w:br/>
      </w:r>
    </w:p>
    <w:p>
      <w:pPr>
        <w:pStyle w:val="Heading1"/>
      </w:pPr>
      <w:r>
        <w:t>4. Password Protection</w:t>
      </w:r>
    </w:p>
    <w:p>
      <w:r>
        <w:br/>
        <w:t>- Do not share passwords.</w:t>
        <w:br/>
        <w:t>- Use password managers for secure storage.</w:t>
        <w:br/>
        <w:t>- Avoid writing down passwords.</w:t>
        <w:br/>
      </w:r>
    </w:p>
    <w:p>
      <w:pPr>
        <w:pStyle w:val="Heading1"/>
      </w:pPr>
      <w:r>
        <w:t>5. Multi-Factor Authentication (MFA)</w:t>
      </w:r>
    </w:p>
    <w:p>
      <w:r>
        <w:t>MFA is mandatory for all remote access and administrative accounts.</w:t>
      </w:r>
    </w:p>
    <w:p>
      <w:pPr>
        <w:pStyle w:val="Heading1"/>
      </w:pPr>
      <w:r>
        <w:t>6. Enforcement</w:t>
      </w:r>
    </w:p>
    <w:p>
      <w:r>
        <w:t>Violations of this policy may result in disciplinary action including access revocation.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