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Data Analysis Report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Dataset Overview</w:t>
      </w:r>
    </w:p>
    <w:p>
      <w:pPr>
        <w:pStyle w:val="ListBullet"/>
      </w:pPr>
      <w:r>
        <w:t>Total Records: 100</w:t>
      </w:r>
    </w:p>
    <w:p>
      <w:pPr>
        <w:pStyle w:val="ListBullet"/>
      </w:pPr>
      <w:r>
        <w:t>Total Columns: 3</w:t>
      </w:r>
    </w:p>
    <w:p>
      <w:pPr>
        <w:pStyle w:val="ListBullet"/>
      </w:pPr>
      <w:r>
        <w:t>Total Missing Values: 0</w:t>
      </w:r>
    </w:p>
    <w:p>
      <w:pPr>
        <w:pStyle w:val="ListBullet"/>
      </w:pPr>
      <w:r>
        <w:t>Overall Missing Percentage: 0.00%</w:t>
      </w:r>
    </w:p>
    <w:p>
      <w:pPr>
        <w:pStyle w:val="Heading2"/>
      </w:pPr>
      <w:r>
        <w:t>Key Insights</w:t>
      </w:r>
    </w:p>
    <w:p>
      <w:pPr>
        <w:pStyle w:val="ListBullet"/>
      </w:pPr>
      <w:r>
        <w:t>Insight 1</w:t>
      </w:r>
    </w:p>
    <w:p>
      <w:pPr>
        <w:pStyle w:val="ListBullet"/>
      </w:pPr>
      <w:r>
        <w:t>Insight 2</w:t>
      </w:r>
    </w:p>
    <w:p>
      <w:pPr>
        <w:pStyle w:val="Heading1"/>
      </w:pPr>
      <w:r>
        <w:t>2. Statistical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</w:tbl>
    <w:p>
      <w:pPr>
        <w:pStyle w:val="Heading1"/>
      </w:pPr>
      <w:r>
        <w:t>3. Univariate Analysis</w:t>
      </w:r>
    </w:p>
    <w:p>
      <w:r>
        <w:t>Analysis of all variables (Numeric &amp; Categorical):</w:t>
      </w:r>
    </w:p>
    <w:p>
      <w:pPr>
        <w:pStyle w:val="Heading2"/>
      </w:pPr>
      <w:r>
        <w:t>Variable: A</w:t>
      </w:r>
    </w:p>
    <w:p>
      <w:pPr>
        <w:pStyle w:val="IntenseQuote"/>
      </w:pPr>
      <w:r>
        <w:t>A is a positively skewed numeric variable with an average of 0.50.</w:t>
      </w:r>
    </w:p>
    <w:p>
      <w:r>
        <w:t>The variable 'A' contains 100 observations. It ranges from a minimum of 0.00 to a maximum of 1.00, with a standard deviation of 0.00. The average value is 0.50, while the median is 0.00. The mean is higher than the median, indicating a right-skewed distribution with potential high-value outliers. The data is relatively consistent (CV: 0.0%).</w:t>
      </w:r>
    </w:p>
    <w:p>
      <w:r>
        <w:drawing>
          <wp:inline xmlns:a="http://schemas.openxmlformats.org/drawingml/2006/main" xmlns:pic="http://schemas.openxmlformats.org/drawingml/2006/picture">
            <wp:extent cx="4572000" cy="3367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Variable: B</w:t>
      </w:r>
    </w:p>
    <w:p>
      <w:pPr>
        <w:pStyle w:val="IntenseQuote"/>
      </w:pPr>
      <w:r>
        <w:t>B is a positively skewed numeric variable with an average of 50.00.</w:t>
      </w:r>
    </w:p>
    <w:p>
      <w:r>
        <w:t>The variable 'B' contains 100 observations. It ranges from a minimum of 0.00 to a maximum of 100.00, with a standard deviation of 0.00. The average value is 50.00, while the median is 0.00. The mean is higher than the median, indicating a right-skewed distribution with potential high-value outliers. The data is relatively consistent (CV: 0.0%).</w:t>
      </w:r>
    </w:p>
    <w:p>
      <w:r>
        <w:drawing>
          <wp:inline xmlns:a="http://schemas.openxmlformats.org/drawingml/2006/main" xmlns:pic="http://schemas.openxmlformats.org/drawingml/2006/picture">
            <wp:extent cx="4572000" cy="3292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Variable: C</w:t>
      </w:r>
    </w:p>
    <w:p>
      <w:pPr>
        <w:pStyle w:val="IntenseQuote"/>
      </w:pPr>
      <w:r>
        <w:t>C is a categorical variable with 3 unique values, dominated by 'X'.</w:t>
      </w:r>
    </w:p>
    <w:p>
      <w:r>
        <w:t>The categorical variable 'C' has 3 distinct categories across 100 records. The most frequent category is 'X', appearing 40 times, which accounts for 40.0% of the data. With fewer than 5 unique values, this variable is suitable for use as a grouping dimension in analysis.</w:t>
      </w:r>
    </w:p>
    <w:p>
      <w:r>
        <w:t>Frequency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33.0%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27.0%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3362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847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4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Multivariate Analysis</w:t>
      </w:r>
    </w:p>
    <w:p>
      <w:r>
        <w:drawing>
          <wp:inline xmlns:a="http://schemas.openxmlformats.org/drawingml/2006/main" xmlns:pic="http://schemas.openxmlformats.org/drawingml/2006/picture">
            <wp:extent cx="5486400" cy="4662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Relationships (Bivariate)</w:t>
      </w:r>
    </w:p>
    <w:p>
      <w:r>
        <w:drawing>
          <wp:inline xmlns:a="http://schemas.openxmlformats.org/drawingml/2006/main" xmlns:pic="http://schemas.openxmlformats.org/drawingml/2006/picture">
            <wp:extent cx="4572000" cy="3317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72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