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83CBC" w14:textId="77777777" w:rsidR="001B6319" w:rsidRDefault="001B05F6" w:rsidP="001B6319">
      <w:pPr>
        <w:ind w:firstLine="720"/>
        <w:jc w:val="center"/>
        <w:rPr>
          <w:rFonts w:ascii="Calibri" w:hAnsi="Calibri" w:cs="Calibri"/>
          <w:b/>
          <w:bCs/>
          <w:sz w:val="36"/>
          <w:szCs w:val="36"/>
        </w:rPr>
      </w:pPr>
      <w:r w:rsidRPr="001B05F6">
        <w:rPr>
          <w:rFonts w:ascii="Calibri" w:hAnsi="Calibri" w:cs="Calibri"/>
          <w:b/>
          <w:bCs/>
          <w:sz w:val="36"/>
          <w:szCs w:val="36"/>
        </w:rPr>
        <w:t xml:space="preserve">Global Electronics Market: Sales and Consumer </w:t>
      </w:r>
      <w:r w:rsidRPr="001B05F6">
        <w:rPr>
          <w:rFonts w:ascii="Calibri" w:hAnsi="Calibri" w:cs="Calibri"/>
          <w:b/>
          <w:bCs/>
          <w:sz w:val="36"/>
          <w:szCs w:val="36"/>
        </w:rPr>
        <w:t>Behaviour</w:t>
      </w:r>
      <w:r w:rsidRPr="001B05F6">
        <w:rPr>
          <w:rFonts w:ascii="Calibri" w:hAnsi="Calibri" w:cs="Calibri"/>
          <w:b/>
          <w:bCs/>
          <w:sz w:val="36"/>
          <w:szCs w:val="36"/>
        </w:rPr>
        <w:t xml:space="preserve"> Analysis</w:t>
      </w:r>
    </w:p>
    <w:p w14:paraId="67ED9E40" w14:textId="605F01CA" w:rsidR="001B6319" w:rsidRPr="001B6319" w:rsidRDefault="001B6319" w:rsidP="001B6319">
      <w:pPr>
        <w:pStyle w:val="ListParagraph"/>
        <w:numPr>
          <w:ilvl w:val="0"/>
          <w:numId w:val="20"/>
        </w:numPr>
        <w:rPr>
          <w:rFonts w:ascii="Calibri" w:hAnsi="Calibri" w:cs="Calibri"/>
          <w:b/>
          <w:bCs/>
          <w:sz w:val="28"/>
          <w:szCs w:val="28"/>
        </w:rPr>
      </w:pPr>
      <w:r w:rsidRPr="001B6319">
        <w:rPr>
          <w:rFonts w:ascii="Calibri" w:hAnsi="Calibri" w:cs="Calibri"/>
          <w:b/>
          <w:bCs/>
          <w:sz w:val="28"/>
          <w:szCs w:val="28"/>
        </w:rPr>
        <w:t>Introduction</w:t>
      </w:r>
    </w:p>
    <w:p w14:paraId="21DCDCB6" w14:textId="38BC4F3E" w:rsidR="001B6319" w:rsidRPr="00F72294" w:rsidRDefault="001B6319" w:rsidP="001B6319">
      <w:pPr>
        <w:ind w:firstLine="720"/>
        <w:rPr>
          <w:rFonts w:ascii="Calibri" w:hAnsi="Calibri" w:cs="Calibri"/>
          <w:sz w:val="28"/>
          <w:szCs w:val="28"/>
        </w:rPr>
      </w:pPr>
      <w:r w:rsidRPr="001B6319">
        <w:rPr>
          <w:rFonts w:ascii="Calibri" w:hAnsi="Calibri" w:cs="Calibri"/>
          <w:sz w:val="24"/>
          <w:szCs w:val="24"/>
        </w:rPr>
        <w:t xml:space="preserve">This report </w:t>
      </w:r>
      <w:r w:rsidRPr="001B6319">
        <w:rPr>
          <w:rFonts w:ascii="Calibri" w:hAnsi="Calibri" w:cs="Calibri"/>
          <w:sz w:val="24"/>
          <w:szCs w:val="24"/>
        </w:rPr>
        <w:t>analyses</w:t>
      </w:r>
      <w:r w:rsidRPr="001B6319">
        <w:rPr>
          <w:rFonts w:ascii="Calibri" w:hAnsi="Calibri" w:cs="Calibri"/>
          <w:sz w:val="24"/>
          <w:szCs w:val="24"/>
        </w:rPr>
        <w:t xml:space="preserve"> the global electronics market, focusing on sales performance, customer </w:t>
      </w:r>
      <w:r w:rsidRPr="001B6319">
        <w:rPr>
          <w:rFonts w:ascii="Calibri" w:hAnsi="Calibri" w:cs="Calibri"/>
          <w:sz w:val="24"/>
          <w:szCs w:val="24"/>
        </w:rPr>
        <w:t>behaviour</w:t>
      </w:r>
      <w:r w:rsidRPr="001B6319">
        <w:rPr>
          <w:rFonts w:ascii="Calibri" w:hAnsi="Calibri" w:cs="Calibri"/>
          <w:sz w:val="24"/>
          <w:szCs w:val="24"/>
        </w:rPr>
        <w:t>, and product trends. The goal is to identify key drivers, trends, and opportunities for growth, providing actionable insights for improving business performance. The analysis covers sales, customer segments, product categories, and store operations</w:t>
      </w:r>
      <w:r w:rsidRPr="001B6319">
        <w:rPr>
          <w:rFonts w:ascii="Calibri" w:hAnsi="Calibri" w:cs="Calibri"/>
          <w:sz w:val="28"/>
          <w:szCs w:val="28"/>
        </w:rPr>
        <w:t>.</w:t>
      </w:r>
    </w:p>
    <w:p w14:paraId="3E715F0B" w14:textId="75DB5D7C" w:rsidR="001B6319" w:rsidRDefault="00F72294" w:rsidP="001B6319">
      <w:pPr>
        <w:pStyle w:val="ListParagraph"/>
        <w:numPr>
          <w:ilvl w:val="0"/>
          <w:numId w:val="20"/>
        </w:numPr>
        <w:rPr>
          <w:rFonts w:ascii="Calibri" w:hAnsi="Calibri" w:cs="Calibri"/>
          <w:b/>
          <w:bCs/>
          <w:sz w:val="28"/>
          <w:szCs w:val="28"/>
        </w:rPr>
      </w:pPr>
      <w:r w:rsidRPr="00F72294">
        <w:rPr>
          <w:rFonts w:ascii="Calibri" w:hAnsi="Calibri" w:cs="Calibri"/>
          <w:b/>
          <w:bCs/>
          <w:sz w:val="28"/>
          <w:szCs w:val="28"/>
        </w:rPr>
        <w:t>Data Overview</w:t>
      </w:r>
    </w:p>
    <w:p w14:paraId="444939C3" w14:textId="77777777" w:rsidR="00F72294" w:rsidRPr="00F72294" w:rsidRDefault="00F72294" w:rsidP="00F72294">
      <w:pPr>
        <w:spacing w:before="100" w:beforeAutospacing="1" w:after="100" w:afterAutospacing="1" w:line="240" w:lineRule="auto"/>
        <w:rPr>
          <w:rFonts w:ascii="Calibri" w:hAnsi="Calibri" w:cs="Calibri"/>
          <w:sz w:val="24"/>
          <w:szCs w:val="24"/>
        </w:rPr>
      </w:pPr>
      <w:r w:rsidRPr="00F72294">
        <w:rPr>
          <w:rFonts w:ascii="Calibri" w:hAnsi="Calibri" w:cs="Calibri"/>
          <w:sz w:val="24"/>
          <w:szCs w:val="24"/>
        </w:rPr>
        <w:t>The dataset includes the following:</w:t>
      </w:r>
    </w:p>
    <w:p w14:paraId="4839D684" w14:textId="77777777" w:rsidR="00F72294" w:rsidRPr="00F72294" w:rsidRDefault="00F72294" w:rsidP="00F72294">
      <w:pPr>
        <w:numPr>
          <w:ilvl w:val="0"/>
          <w:numId w:val="21"/>
        </w:numPr>
        <w:spacing w:before="100" w:beforeAutospacing="1" w:after="100" w:afterAutospacing="1" w:line="240" w:lineRule="auto"/>
        <w:rPr>
          <w:rFonts w:ascii="Calibri" w:hAnsi="Calibri" w:cs="Calibri"/>
          <w:sz w:val="24"/>
          <w:szCs w:val="24"/>
        </w:rPr>
      </w:pPr>
      <w:r w:rsidRPr="00F72294">
        <w:rPr>
          <w:rFonts w:ascii="Calibri" w:hAnsi="Calibri" w:cs="Calibri"/>
          <w:b/>
          <w:bCs/>
          <w:sz w:val="24"/>
          <w:szCs w:val="24"/>
        </w:rPr>
        <w:t>Sales Data:</w:t>
      </w:r>
      <w:r w:rsidRPr="00F72294">
        <w:rPr>
          <w:rFonts w:ascii="Calibri" w:hAnsi="Calibri" w:cs="Calibri"/>
          <w:sz w:val="24"/>
          <w:szCs w:val="24"/>
        </w:rPr>
        <w:t xml:space="preserve"> Global electronics sales, including transactions, revenue, and regional sales distribution.</w:t>
      </w:r>
    </w:p>
    <w:p w14:paraId="6DE75646" w14:textId="0618F309" w:rsidR="00F72294" w:rsidRPr="00F72294" w:rsidRDefault="00F72294" w:rsidP="00F72294">
      <w:pPr>
        <w:numPr>
          <w:ilvl w:val="0"/>
          <w:numId w:val="21"/>
        </w:numPr>
        <w:spacing w:before="100" w:beforeAutospacing="1" w:after="100" w:afterAutospacing="1" w:line="240" w:lineRule="auto"/>
        <w:rPr>
          <w:rFonts w:ascii="Calibri" w:hAnsi="Calibri" w:cs="Calibri"/>
          <w:sz w:val="24"/>
          <w:szCs w:val="24"/>
        </w:rPr>
      </w:pPr>
      <w:r w:rsidRPr="00F72294">
        <w:rPr>
          <w:rFonts w:ascii="Calibri" w:hAnsi="Calibri" w:cs="Calibri"/>
          <w:b/>
          <w:bCs/>
          <w:sz w:val="24"/>
          <w:szCs w:val="24"/>
        </w:rPr>
        <w:t>Customer Data:</w:t>
      </w:r>
      <w:r w:rsidRPr="00F72294">
        <w:rPr>
          <w:rFonts w:ascii="Calibri" w:hAnsi="Calibri" w:cs="Calibri"/>
          <w:sz w:val="24"/>
          <w:szCs w:val="24"/>
        </w:rPr>
        <w:t xml:space="preserve"> Demographics and purchasing </w:t>
      </w:r>
      <w:r w:rsidRPr="00F72294">
        <w:rPr>
          <w:rFonts w:ascii="Calibri" w:hAnsi="Calibri" w:cs="Calibri"/>
          <w:sz w:val="24"/>
          <w:szCs w:val="24"/>
        </w:rPr>
        <w:t>behaviour</w:t>
      </w:r>
      <w:r w:rsidRPr="00F72294">
        <w:rPr>
          <w:rFonts w:ascii="Calibri" w:hAnsi="Calibri" w:cs="Calibri"/>
          <w:sz w:val="24"/>
          <w:szCs w:val="24"/>
        </w:rPr>
        <w:t>.</w:t>
      </w:r>
    </w:p>
    <w:p w14:paraId="5EE5B0D7" w14:textId="77777777" w:rsidR="00F72294" w:rsidRPr="00F72294" w:rsidRDefault="00F72294" w:rsidP="00F72294">
      <w:pPr>
        <w:numPr>
          <w:ilvl w:val="0"/>
          <w:numId w:val="21"/>
        </w:numPr>
        <w:spacing w:before="100" w:beforeAutospacing="1" w:after="100" w:afterAutospacing="1" w:line="240" w:lineRule="auto"/>
        <w:rPr>
          <w:rFonts w:ascii="Calibri" w:hAnsi="Calibri" w:cs="Calibri"/>
          <w:sz w:val="24"/>
          <w:szCs w:val="24"/>
        </w:rPr>
      </w:pPr>
      <w:r w:rsidRPr="00F72294">
        <w:rPr>
          <w:rFonts w:ascii="Calibri" w:hAnsi="Calibri" w:cs="Calibri"/>
          <w:b/>
          <w:bCs/>
          <w:sz w:val="24"/>
          <w:szCs w:val="24"/>
        </w:rPr>
        <w:t>Product Data:</w:t>
      </w:r>
      <w:r w:rsidRPr="00F72294">
        <w:rPr>
          <w:rFonts w:ascii="Calibri" w:hAnsi="Calibri" w:cs="Calibri"/>
          <w:sz w:val="24"/>
          <w:szCs w:val="24"/>
        </w:rPr>
        <w:t xml:space="preserve"> Categories, pricing, popularity, and performance.</w:t>
      </w:r>
    </w:p>
    <w:p w14:paraId="2CBE1A39" w14:textId="77777777" w:rsidR="00F72294" w:rsidRPr="00F72294" w:rsidRDefault="00F72294" w:rsidP="00F72294">
      <w:pPr>
        <w:numPr>
          <w:ilvl w:val="0"/>
          <w:numId w:val="21"/>
        </w:numPr>
        <w:spacing w:before="100" w:beforeAutospacing="1" w:after="100" w:afterAutospacing="1" w:line="240" w:lineRule="auto"/>
        <w:rPr>
          <w:rFonts w:ascii="Calibri" w:hAnsi="Calibri" w:cs="Calibri"/>
          <w:sz w:val="24"/>
          <w:szCs w:val="24"/>
        </w:rPr>
      </w:pPr>
      <w:r w:rsidRPr="00F72294">
        <w:rPr>
          <w:rFonts w:ascii="Calibri" w:hAnsi="Calibri" w:cs="Calibri"/>
          <w:b/>
          <w:bCs/>
          <w:sz w:val="24"/>
          <w:szCs w:val="24"/>
        </w:rPr>
        <w:t>Store Data:</w:t>
      </w:r>
      <w:r w:rsidRPr="00F72294">
        <w:rPr>
          <w:rFonts w:ascii="Calibri" w:hAnsi="Calibri" w:cs="Calibri"/>
          <w:sz w:val="24"/>
          <w:szCs w:val="24"/>
        </w:rPr>
        <w:t xml:space="preserve"> Regional sales distribution and market share (North America, Europe, Asia-Pacific, etc.).</w:t>
      </w:r>
    </w:p>
    <w:p w14:paraId="1400C8B0" w14:textId="77777777" w:rsidR="00F72294" w:rsidRDefault="00F72294" w:rsidP="00F72294">
      <w:pPr>
        <w:spacing w:before="100" w:beforeAutospacing="1" w:after="100" w:afterAutospacing="1" w:line="240" w:lineRule="auto"/>
        <w:rPr>
          <w:rFonts w:ascii="Calibri" w:hAnsi="Calibri" w:cs="Calibri"/>
          <w:sz w:val="24"/>
          <w:szCs w:val="24"/>
        </w:rPr>
      </w:pPr>
      <w:r w:rsidRPr="00F72294">
        <w:rPr>
          <w:rFonts w:ascii="Calibri" w:hAnsi="Calibri" w:cs="Calibri"/>
          <w:sz w:val="24"/>
          <w:szCs w:val="24"/>
        </w:rPr>
        <w:t>The analysis spans 2016 to 2021, highlighting recent trends and consumer preferences.</w:t>
      </w:r>
    </w:p>
    <w:p w14:paraId="67083703" w14:textId="77777777" w:rsidR="00270014" w:rsidRDefault="00FC2CBA" w:rsidP="00270014">
      <w:pPr>
        <w:pStyle w:val="ListParagraph"/>
        <w:numPr>
          <w:ilvl w:val="0"/>
          <w:numId w:val="20"/>
        </w:numPr>
        <w:spacing w:before="100" w:beforeAutospacing="1" w:after="100" w:afterAutospacing="1" w:line="240" w:lineRule="auto"/>
        <w:rPr>
          <w:rFonts w:ascii="Calibri" w:hAnsi="Calibri" w:cs="Calibri"/>
          <w:b/>
          <w:bCs/>
          <w:sz w:val="28"/>
          <w:szCs w:val="28"/>
        </w:rPr>
      </w:pPr>
      <w:r w:rsidRPr="00FC2CBA">
        <w:rPr>
          <w:rFonts w:ascii="Calibri" w:hAnsi="Calibri" w:cs="Calibri"/>
          <w:b/>
          <w:bCs/>
          <w:sz w:val="28"/>
          <w:szCs w:val="28"/>
        </w:rPr>
        <w:t>Methodology</w:t>
      </w:r>
    </w:p>
    <w:p w14:paraId="0CCB0921" w14:textId="77777777" w:rsidR="00822F4A" w:rsidRDefault="00511962" w:rsidP="00822F4A">
      <w:pPr>
        <w:rPr>
          <w:rFonts w:ascii="Calibri" w:hAnsi="Calibri" w:cs="Calibri"/>
          <w:sz w:val="24"/>
          <w:szCs w:val="24"/>
        </w:rPr>
      </w:pPr>
      <w:r>
        <w:rPr>
          <w:rFonts w:ascii="Calibri" w:hAnsi="Calibri" w:cs="Calibri"/>
          <w:sz w:val="24"/>
          <w:szCs w:val="24"/>
        </w:rPr>
        <w:t>Following methodology was used:</w:t>
      </w:r>
    </w:p>
    <w:p w14:paraId="4193D146" w14:textId="77777777" w:rsidR="00822F4A" w:rsidRDefault="00511962" w:rsidP="00822F4A">
      <w:pPr>
        <w:pStyle w:val="ListParagraph"/>
        <w:numPr>
          <w:ilvl w:val="0"/>
          <w:numId w:val="22"/>
        </w:numPr>
        <w:rPr>
          <w:rFonts w:ascii="Calibri" w:hAnsi="Calibri" w:cs="Calibri"/>
          <w:sz w:val="24"/>
          <w:szCs w:val="24"/>
        </w:rPr>
      </w:pPr>
      <w:r w:rsidRPr="00822F4A">
        <w:rPr>
          <w:rFonts w:ascii="Calibri" w:hAnsi="Calibri" w:cs="Calibri"/>
          <w:b/>
          <w:bCs/>
          <w:sz w:val="24"/>
          <w:szCs w:val="24"/>
        </w:rPr>
        <w:t>Data Cleaning:</w:t>
      </w:r>
      <w:r w:rsidRPr="00822F4A">
        <w:rPr>
          <w:rFonts w:ascii="Calibri" w:hAnsi="Calibri" w:cs="Calibri"/>
          <w:sz w:val="24"/>
          <w:szCs w:val="24"/>
        </w:rPr>
        <w:t xml:space="preserve"> Addressed missing data for accuracy.</w:t>
      </w:r>
    </w:p>
    <w:p w14:paraId="09468527" w14:textId="77777777" w:rsidR="00822F4A" w:rsidRDefault="00511962" w:rsidP="00822F4A">
      <w:pPr>
        <w:pStyle w:val="ListParagraph"/>
        <w:numPr>
          <w:ilvl w:val="0"/>
          <w:numId w:val="22"/>
        </w:numPr>
        <w:rPr>
          <w:rFonts w:ascii="Calibri" w:hAnsi="Calibri" w:cs="Calibri"/>
          <w:sz w:val="24"/>
          <w:szCs w:val="24"/>
        </w:rPr>
      </w:pPr>
      <w:r w:rsidRPr="00822F4A">
        <w:rPr>
          <w:rFonts w:ascii="Calibri" w:hAnsi="Calibri" w:cs="Calibri"/>
          <w:b/>
          <w:bCs/>
          <w:sz w:val="24"/>
          <w:szCs w:val="24"/>
        </w:rPr>
        <w:t>Tools:</w:t>
      </w:r>
      <w:r w:rsidRPr="00822F4A">
        <w:rPr>
          <w:rFonts w:ascii="Calibri" w:hAnsi="Calibri" w:cs="Calibri"/>
          <w:sz w:val="24"/>
          <w:szCs w:val="24"/>
        </w:rPr>
        <w:t xml:space="preserve"> SQL for data management; Power BI for visualizing trends and segmentation.</w:t>
      </w:r>
    </w:p>
    <w:p w14:paraId="2C257EA1" w14:textId="10FB06F4" w:rsidR="00511962" w:rsidRDefault="00511962" w:rsidP="00822F4A">
      <w:pPr>
        <w:pStyle w:val="ListParagraph"/>
        <w:numPr>
          <w:ilvl w:val="0"/>
          <w:numId w:val="22"/>
        </w:numPr>
        <w:rPr>
          <w:rFonts w:ascii="Calibri" w:hAnsi="Calibri" w:cs="Calibri"/>
          <w:sz w:val="24"/>
          <w:szCs w:val="24"/>
        </w:rPr>
      </w:pPr>
      <w:r w:rsidRPr="00822F4A">
        <w:rPr>
          <w:rFonts w:ascii="Calibri" w:hAnsi="Calibri" w:cs="Calibri"/>
          <w:b/>
          <w:bCs/>
          <w:sz w:val="24"/>
          <w:szCs w:val="24"/>
        </w:rPr>
        <w:t>Key Metrics:</w:t>
      </w:r>
      <w:r w:rsidRPr="00822F4A">
        <w:rPr>
          <w:rFonts w:ascii="Calibri" w:hAnsi="Calibri" w:cs="Calibri"/>
          <w:sz w:val="24"/>
          <w:szCs w:val="24"/>
        </w:rPr>
        <w:t xml:space="preserve"> Total sales, customer age group distribution, average order value, and regional market share.</w:t>
      </w:r>
    </w:p>
    <w:p w14:paraId="464CC54E" w14:textId="77777777" w:rsidR="00D3348F" w:rsidRDefault="00D3348F" w:rsidP="00D3348F">
      <w:pPr>
        <w:pStyle w:val="ListParagraph"/>
        <w:ind w:left="1440"/>
        <w:rPr>
          <w:rFonts w:ascii="Calibri" w:hAnsi="Calibri" w:cs="Calibri"/>
          <w:sz w:val="24"/>
          <w:szCs w:val="24"/>
        </w:rPr>
      </w:pPr>
    </w:p>
    <w:p w14:paraId="44A35CA8" w14:textId="097B0152" w:rsidR="00822F4A" w:rsidRDefault="00D3348F" w:rsidP="00822F4A">
      <w:pPr>
        <w:pStyle w:val="ListParagraph"/>
        <w:numPr>
          <w:ilvl w:val="0"/>
          <w:numId w:val="20"/>
        </w:numPr>
        <w:rPr>
          <w:rFonts w:ascii="Calibri" w:hAnsi="Calibri" w:cs="Calibri"/>
          <w:b/>
          <w:bCs/>
          <w:sz w:val="28"/>
          <w:szCs w:val="28"/>
        </w:rPr>
      </w:pPr>
      <w:r w:rsidRPr="00D3348F">
        <w:rPr>
          <w:rFonts w:ascii="Calibri" w:hAnsi="Calibri" w:cs="Calibri"/>
          <w:b/>
          <w:bCs/>
          <w:sz w:val="28"/>
          <w:szCs w:val="28"/>
        </w:rPr>
        <w:t>Exploratory Data Analysis (EDA)</w:t>
      </w:r>
    </w:p>
    <w:p w14:paraId="7738BC53" w14:textId="77777777" w:rsidR="00D3348F" w:rsidRPr="00D3348F" w:rsidRDefault="00D3348F" w:rsidP="00D3348F">
      <w:pPr>
        <w:ind w:left="720"/>
        <w:rPr>
          <w:rFonts w:ascii="Calibri" w:hAnsi="Calibri" w:cs="Calibri"/>
          <w:b/>
          <w:bCs/>
          <w:sz w:val="24"/>
          <w:szCs w:val="24"/>
        </w:rPr>
      </w:pPr>
      <w:r w:rsidRPr="00D3348F">
        <w:rPr>
          <w:rFonts w:ascii="Calibri" w:hAnsi="Calibri" w:cs="Calibri"/>
          <w:b/>
          <w:bCs/>
          <w:sz w:val="24"/>
          <w:szCs w:val="24"/>
        </w:rPr>
        <w:t>4.1 Sales Analysis</w:t>
      </w:r>
    </w:p>
    <w:p w14:paraId="569DAB3C" w14:textId="77777777" w:rsidR="00D3348F" w:rsidRPr="00D3348F" w:rsidRDefault="00D3348F" w:rsidP="00D3348F">
      <w:pPr>
        <w:numPr>
          <w:ilvl w:val="0"/>
          <w:numId w:val="23"/>
        </w:numPr>
        <w:tabs>
          <w:tab w:val="num" w:pos="720"/>
        </w:tabs>
        <w:rPr>
          <w:rFonts w:ascii="Calibri" w:hAnsi="Calibri" w:cs="Calibri"/>
          <w:sz w:val="24"/>
          <w:szCs w:val="24"/>
        </w:rPr>
      </w:pPr>
      <w:r w:rsidRPr="00D3348F">
        <w:rPr>
          <w:rFonts w:ascii="Calibri" w:hAnsi="Calibri" w:cs="Calibri"/>
          <w:b/>
          <w:bCs/>
          <w:sz w:val="24"/>
          <w:szCs w:val="24"/>
        </w:rPr>
        <w:t>Top Regions:</w:t>
      </w:r>
      <w:r w:rsidRPr="00D3348F">
        <w:rPr>
          <w:rFonts w:ascii="Calibri" w:hAnsi="Calibri" w:cs="Calibri"/>
          <w:sz w:val="24"/>
          <w:szCs w:val="24"/>
        </w:rPr>
        <w:t xml:space="preserve"> The U.S. leads with 53% of total sales, followed by the U.K. (13%) and Germany (9%).</w:t>
      </w:r>
    </w:p>
    <w:p w14:paraId="79BEEE64" w14:textId="77777777" w:rsidR="00D3348F" w:rsidRPr="00D3348F" w:rsidRDefault="00D3348F" w:rsidP="00D3348F">
      <w:pPr>
        <w:numPr>
          <w:ilvl w:val="0"/>
          <w:numId w:val="23"/>
        </w:numPr>
        <w:tabs>
          <w:tab w:val="num" w:pos="720"/>
        </w:tabs>
        <w:rPr>
          <w:rFonts w:ascii="Calibri" w:hAnsi="Calibri" w:cs="Calibri"/>
          <w:sz w:val="24"/>
          <w:szCs w:val="24"/>
        </w:rPr>
      </w:pPr>
      <w:r w:rsidRPr="00D3348F">
        <w:rPr>
          <w:rFonts w:ascii="Calibri" w:hAnsi="Calibri" w:cs="Calibri"/>
          <w:b/>
          <w:bCs/>
          <w:sz w:val="24"/>
          <w:szCs w:val="24"/>
        </w:rPr>
        <w:t>Yearly Growth:</w:t>
      </w:r>
      <w:r w:rsidRPr="00D3348F">
        <w:rPr>
          <w:rFonts w:ascii="Calibri" w:hAnsi="Calibri" w:cs="Calibri"/>
          <w:sz w:val="24"/>
          <w:szCs w:val="24"/>
        </w:rPr>
        <w:t xml:space="preserve"> Peak sales were in 2019; lowest sales in 2021.</w:t>
      </w:r>
    </w:p>
    <w:p w14:paraId="2CCC6B1D" w14:textId="77777777" w:rsidR="00D3348F" w:rsidRPr="00D3348F" w:rsidRDefault="00D3348F" w:rsidP="00D3348F">
      <w:pPr>
        <w:numPr>
          <w:ilvl w:val="0"/>
          <w:numId w:val="23"/>
        </w:numPr>
        <w:tabs>
          <w:tab w:val="num" w:pos="720"/>
        </w:tabs>
        <w:rPr>
          <w:rFonts w:ascii="Calibri" w:hAnsi="Calibri" w:cs="Calibri"/>
          <w:sz w:val="24"/>
          <w:szCs w:val="24"/>
        </w:rPr>
      </w:pPr>
      <w:r w:rsidRPr="00D3348F">
        <w:rPr>
          <w:rFonts w:ascii="Calibri" w:hAnsi="Calibri" w:cs="Calibri"/>
          <w:b/>
          <w:bCs/>
          <w:sz w:val="24"/>
          <w:szCs w:val="24"/>
        </w:rPr>
        <w:lastRenderedPageBreak/>
        <w:t>Category Performance:</w:t>
      </w:r>
      <w:r w:rsidRPr="00D3348F">
        <w:rPr>
          <w:rFonts w:ascii="Calibri" w:hAnsi="Calibri" w:cs="Calibri"/>
          <w:sz w:val="24"/>
          <w:szCs w:val="24"/>
        </w:rPr>
        <w:t xml:space="preserve"> Consumer electronics (smartphones, laptops) dominate with 38% of total sales, followed by media products (14%).</w:t>
      </w:r>
    </w:p>
    <w:p w14:paraId="393609E2" w14:textId="77777777" w:rsidR="00D3348F" w:rsidRPr="00D3348F" w:rsidRDefault="00D3348F" w:rsidP="00D3348F">
      <w:pPr>
        <w:ind w:firstLine="720"/>
        <w:rPr>
          <w:rFonts w:ascii="Calibri" w:hAnsi="Calibri" w:cs="Calibri"/>
          <w:b/>
          <w:bCs/>
          <w:sz w:val="24"/>
          <w:szCs w:val="24"/>
        </w:rPr>
      </w:pPr>
      <w:r w:rsidRPr="00D3348F">
        <w:rPr>
          <w:rFonts w:ascii="Calibri" w:hAnsi="Calibri" w:cs="Calibri"/>
          <w:b/>
          <w:bCs/>
          <w:sz w:val="24"/>
          <w:szCs w:val="24"/>
        </w:rPr>
        <w:t>4.2 Customer Segmentation</w:t>
      </w:r>
    </w:p>
    <w:p w14:paraId="6925EE7A" w14:textId="77777777" w:rsidR="00D3348F" w:rsidRPr="00D3348F" w:rsidRDefault="00D3348F" w:rsidP="00D3348F">
      <w:pPr>
        <w:numPr>
          <w:ilvl w:val="0"/>
          <w:numId w:val="24"/>
        </w:numPr>
        <w:tabs>
          <w:tab w:val="num" w:pos="720"/>
        </w:tabs>
        <w:rPr>
          <w:rFonts w:ascii="Calibri" w:hAnsi="Calibri" w:cs="Calibri"/>
          <w:sz w:val="24"/>
          <w:szCs w:val="24"/>
        </w:rPr>
      </w:pPr>
      <w:r w:rsidRPr="00D3348F">
        <w:rPr>
          <w:rFonts w:ascii="Calibri" w:hAnsi="Calibri" w:cs="Calibri"/>
          <w:b/>
          <w:bCs/>
          <w:sz w:val="24"/>
          <w:szCs w:val="24"/>
        </w:rPr>
        <w:t>Age Group:</w:t>
      </w:r>
      <w:r w:rsidRPr="00D3348F">
        <w:rPr>
          <w:rFonts w:ascii="Calibri" w:hAnsi="Calibri" w:cs="Calibri"/>
          <w:sz w:val="24"/>
          <w:szCs w:val="24"/>
        </w:rPr>
        <w:t xml:space="preserve"> The 65+ segment is the largest, accounting for 35% of purchases, followed by the 56-65 group (25%).</w:t>
      </w:r>
    </w:p>
    <w:p w14:paraId="6F3AB42E" w14:textId="77777777" w:rsidR="00D3348F" w:rsidRPr="00D3348F" w:rsidRDefault="00D3348F" w:rsidP="00D3348F">
      <w:pPr>
        <w:numPr>
          <w:ilvl w:val="0"/>
          <w:numId w:val="24"/>
        </w:numPr>
        <w:tabs>
          <w:tab w:val="num" w:pos="720"/>
        </w:tabs>
        <w:rPr>
          <w:rFonts w:ascii="Calibri" w:hAnsi="Calibri" w:cs="Calibri"/>
          <w:sz w:val="24"/>
          <w:szCs w:val="24"/>
        </w:rPr>
      </w:pPr>
      <w:r w:rsidRPr="00D3348F">
        <w:rPr>
          <w:rFonts w:ascii="Calibri" w:hAnsi="Calibri" w:cs="Calibri"/>
          <w:b/>
          <w:bCs/>
          <w:sz w:val="24"/>
          <w:szCs w:val="24"/>
        </w:rPr>
        <w:t>Gender Distribution:</w:t>
      </w:r>
      <w:r w:rsidRPr="00D3348F">
        <w:rPr>
          <w:rFonts w:ascii="Calibri" w:hAnsi="Calibri" w:cs="Calibri"/>
          <w:sz w:val="24"/>
          <w:szCs w:val="24"/>
        </w:rPr>
        <w:t xml:space="preserve"> Males account for 51% of sales, females 49%.</w:t>
      </w:r>
    </w:p>
    <w:p w14:paraId="3A1F3E33" w14:textId="77777777" w:rsidR="00D3348F" w:rsidRPr="00D3348F" w:rsidRDefault="00D3348F" w:rsidP="00D3348F">
      <w:pPr>
        <w:ind w:left="720"/>
        <w:rPr>
          <w:rFonts w:ascii="Calibri" w:hAnsi="Calibri" w:cs="Calibri"/>
          <w:b/>
          <w:bCs/>
          <w:sz w:val="24"/>
          <w:szCs w:val="24"/>
        </w:rPr>
      </w:pPr>
      <w:r w:rsidRPr="00D3348F">
        <w:rPr>
          <w:rFonts w:ascii="Calibri" w:hAnsi="Calibri" w:cs="Calibri"/>
          <w:b/>
          <w:bCs/>
          <w:sz w:val="24"/>
          <w:szCs w:val="24"/>
        </w:rPr>
        <w:t>4.3 Product Performance</w:t>
      </w:r>
    </w:p>
    <w:p w14:paraId="5BA1FD2C" w14:textId="77777777" w:rsidR="00D3348F" w:rsidRPr="00D3348F" w:rsidRDefault="00D3348F" w:rsidP="00D3348F">
      <w:pPr>
        <w:numPr>
          <w:ilvl w:val="0"/>
          <w:numId w:val="25"/>
        </w:numPr>
        <w:tabs>
          <w:tab w:val="num" w:pos="720"/>
        </w:tabs>
        <w:rPr>
          <w:rFonts w:ascii="Calibri" w:hAnsi="Calibri" w:cs="Calibri"/>
          <w:sz w:val="24"/>
          <w:szCs w:val="24"/>
        </w:rPr>
      </w:pPr>
      <w:r w:rsidRPr="00D3348F">
        <w:rPr>
          <w:rFonts w:ascii="Calibri" w:hAnsi="Calibri" w:cs="Calibri"/>
          <w:b/>
          <w:bCs/>
          <w:sz w:val="24"/>
          <w:szCs w:val="24"/>
        </w:rPr>
        <w:t>Computers</w:t>
      </w:r>
      <w:r w:rsidRPr="00D3348F">
        <w:rPr>
          <w:rFonts w:ascii="Calibri" w:hAnsi="Calibri" w:cs="Calibri"/>
          <w:sz w:val="24"/>
          <w:szCs w:val="24"/>
        </w:rPr>
        <w:t>: This category leads, contributing 34% of total sales.</w:t>
      </w:r>
    </w:p>
    <w:p w14:paraId="707A683C" w14:textId="77777777" w:rsidR="00D3348F" w:rsidRPr="00D3348F" w:rsidRDefault="00D3348F" w:rsidP="00D3348F">
      <w:pPr>
        <w:numPr>
          <w:ilvl w:val="0"/>
          <w:numId w:val="25"/>
        </w:numPr>
        <w:tabs>
          <w:tab w:val="num" w:pos="720"/>
        </w:tabs>
        <w:rPr>
          <w:rFonts w:ascii="Calibri" w:hAnsi="Calibri" w:cs="Calibri"/>
          <w:sz w:val="24"/>
          <w:szCs w:val="24"/>
        </w:rPr>
      </w:pPr>
      <w:r w:rsidRPr="00D3348F">
        <w:rPr>
          <w:rFonts w:ascii="Calibri" w:hAnsi="Calibri" w:cs="Calibri"/>
          <w:b/>
          <w:bCs/>
          <w:sz w:val="24"/>
          <w:szCs w:val="24"/>
        </w:rPr>
        <w:t>Wearables</w:t>
      </w:r>
      <w:r w:rsidRPr="00D3348F">
        <w:rPr>
          <w:rFonts w:ascii="Calibri" w:hAnsi="Calibri" w:cs="Calibri"/>
          <w:sz w:val="24"/>
          <w:szCs w:val="24"/>
        </w:rPr>
        <w:t>: Significant growth in wearables, with a 15% year-over-year increase.</w:t>
      </w:r>
    </w:p>
    <w:p w14:paraId="22FDAB2D" w14:textId="77777777" w:rsidR="00D3348F" w:rsidRPr="00D3348F" w:rsidRDefault="00D3348F" w:rsidP="00D3348F">
      <w:pPr>
        <w:ind w:left="720"/>
        <w:rPr>
          <w:rFonts w:ascii="Calibri" w:hAnsi="Calibri" w:cs="Calibri"/>
          <w:sz w:val="24"/>
          <w:szCs w:val="24"/>
        </w:rPr>
      </w:pPr>
      <w:r w:rsidRPr="00D3348F">
        <w:rPr>
          <w:rFonts w:ascii="Calibri" w:hAnsi="Calibri" w:cs="Calibri"/>
          <w:sz w:val="24"/>
          <w:szCs w:val="24"/>
        </w:rPr>
        <w:t>(Analysis visualized using Power BI)</w:t>
      </w:r>
    </w:p>
    <w:p w14:paraId="789CAE0B" w14:textId="77777777" w:rsidR="00D3348F" w:rsidRPr="00D3348F" w:rsidRDefault="00D3348F" w:rsidP="00F5531A">
      <w:pPr>
        <w:rPr>
          <w:rFonts w:ascii="Calibri" w:hAnsi="Calibri" w:cs="Calibri"/>
          <w:b/>
          <w:bCs/>
          <w:sz w:val="28"/>
          <w:szCs w:val="28"/>
        </w:rPr>
      </w:pPr>
      <w:r w:rsidRPr="00D3348F">
        <w:rPr>
          <w:rFonts w:ascii="Calibri" w:hAnsi="Calibri" w:cs="Calibri"/>
          <w:b/>
          <w:bCs/>
          <w:sz w:val="28"/>
          <w:szCs w:val="28"/>
        </w:rPr>
        <w:t>5. Key Insights and Findings</w:t>
      </w:r>
    </w:p>
    <w:p w14:paraId="2DCDCDE3" w14:textId="77777777" w:rsidR="00D3348F" w:rsidRPr="00D3348F" w:rsidRDefault="00D3348F" w:rsidP="00D3348F">
      <w:pPr>
        <w:numPr>
          <w:ilvl w:val="0"/>
          <w:numId w:val="26"/>
        </w:numPr>
        <w:rPr>
          <w:rFonts w:ascii="Calibri" w:hAnsi="Calibri" w:cs="Calibri"/>
          <w:sz w:val="24"/>
          <w:szCs w:val="24"/>
        </w:rPr>
      </w:pPr>
      <w:r w:rsidRPr="00D3348F">
        <w:rPr>
          <w:rFonts w:ascii="Calibri" w:hAnsi="Calibri" w:cs="Calibri"/>
          <w:b/>
          <w:bCs/>
          <w:sz w:val="24"/>
          <w:szCs w:val="24"/>
        </w:rPr>
        <w:t>Regional Dominance</w:t>
      </w:r>
      <w:r w:rsidRPr="00D3348F">
        <w:rPr>
          <w:rFonts w:ascii="Calibri" w:hAnsi="Calibri" w:cs="Calibri"/>
          <w:sz w:val="24"/>
          <w:szCs w:val="24"/>
        </w:rPr>
        <w:t>: The U.S. dominates due to increased consumer demand and a growing middle class.</w:t>
      </w:r>
    </w:p>
    <w:p w14:paraId="4B605AE6" w14:textId="77777777" w:rsidR="00D3348F" w:rsidRPr="00D3348F" w:rsidRDefault="00D3348F" w:rsidP="00D3348F">
      <w:pPr>
        <w:numPr>
          <w:ilvl w:val="0"/>
          <w:numId w:val="26"/>
        </w:numPr>
        <w:rPr>
          <w:rFonts w:ascii="Calibri" w:hAnsi="Calibri" w:cs="Calibri"/>
          <w:sz w:val="24"/>
          <w:szCs w:val="24"/>
        </w:rPr>
      </w:pPr>
      <w:r w:rsidRPr="00D3348F">
        <w:rPr>
          <w:rFonts w:ascii="Calibri" w:hAnsi="Calibri" w:cs="Calibri"/>
          <w:b/>
          <w:bCs/>
          <w:sz w:val="24"/>
          <w:szCs w:val="24"/>
        </w:rPr>
        <w:t>Sales Trends</w:t>
      </w:r>
      <w:r w:rsidRPr="00D3348F">
        <w:rPr>
          <w:rFonts w:ascii="Calibri" w:hAnsi="Calibri" w:cs="Calibri"/>
          <w:sz w:val="24"/>
          <w:szCs w:val="24"/>
        </w:rPr>
        <w:t>: 2019 saw the highest sales, while 2021 recorded the lowest.</w:t>
      </w:r>
    </w:p>
    <w:p w14:paraId="4A8C16CD" w14:textId="77777777" w:rsidR="00D3348F" w:rsidRPr="00D3348F" w:rsidRDefault="00D3348F" w:rsidP="00D3348F">
      <w:pPr>
        <w:numPr>
          <w:ilvl w:val="0"/>
          <w:numId w:val="26"/>
        </w:numPr>
        <w:rPr>
          <w:rFonts w:ascii="Calibri" w:hAnsi="Calibri" w:cs="Calibri"/>
          <w:sz w:val="24"/>
          <w:szCs w:val="24"/>
        </w:rPr>
      </w:pPr>
      <w:r w:rsidRPr="00D3348F">
        <w:rPr>
          <w:rFonts w:ascii="Calibri" w:hAnsi="Calibri" w:cs="Calibri"/>
          <w:b/>
          <w:bCs/>
          <w:sz w:val="24"/>
          <w:szCs w:val="24"/>
        </w:rPr>
        <w:t>Top Product</w:t>
      </w:r>
      <w:r w:rsidRPr="00D3348F">
        <w:rPr>
          <w:rFonts w:ascii="Calibri" w:hAnsi="Calibri" w:cs="Calibri"/>
          <w:sz w:val="24"/>
          <w:szCs w:val="24"/>
        </w:rPr>
        <w:t>: The WWI Desktop (Black) ranks among the top 10 best-sellers in both volume and revenue.</w:t>
      </w:r>
    </w:p>
    <w:p w14:paraId="7B5389DD" w14:textId="77777777" w:rsidR="00D3348F" w:rsidRPr="00D3348F" w:rsidRDefault="00D3348F" w:rsidP="00F5531A">
      <w:pPr>
        <w:rPr>
          <w:rFonts w:ascii="Calibri" w:hAnsi="Calibri" w:cs="Calibri"/>
          <w:b/>
          <w:bCs/>
          <w:sz w:val="28"/>
          <w:szCs w:val="28"/>
        </w:rPr>
      </w:pPr>
      <w:r w:rsidRPr="00D3348F">
        <w:rPr>
          <w:rFonts w:ascii="Calibri" w:hAnsi="Calibri" w:cs="Calibri"/>
          <w:b/>
          <w:bCs/>
          <w:sz w:val="28"/>
          <w:szCs w:val="28"/>
        </w:rPr>
        <w:t>6. Recommendations</w:t>
      </w:r>
    </w:p>
    <w:p w14:paraId="4EDCE9DB" w14:textId="77777777" w:rsidR="00D3348F" w:rsidRPr="00D3348F" w:rsidRDefault="00D3348F" w:rsidP="00D3348F">
      <w:pPr>
        <w:numPr>
          <w:ilvl w:val="0"/>
          <w:numId w:val="27"/>
        </w:numPr>
        <w:rPr>
          <w:rFonts w:ascii="Calibri" w:hAnsi="Calibri" w:cs="Calibri"/>
          <w:sz w:val="24"/>
          <w:szCs w:val="24"/>
        </w:rPr>
      </w:pPr>
      <w:r w:rsidRPr="00D3348F">
        <w:rPr>
          <w:rFonts w:ascii="Calibri" w:hAnsi="Calibri" w:cs="Calibri"/>
          <w:b/>
          <w:bCs/>
          <w:sz w:val="24"/>
          <w:szCs w:val="24"/>
        </w:rPr>
        <w:t>Asia-Pacific Focus</w:t>
      </w:r>
      <w:r w:rsidRPr="00D3348F">
        <w:rPr>
          <w:rFonts w:ascii="Calibri" w:hAnsi="Calibri" w:cs="Calibri"/>
          <w:sz w:val="24"/>
          <w:szCs w:val="24"/>
        </w:rPr>
        <w:t>: Target premium products with localized marketing in this growing region.</w:t>
      </w:r>
    </w:p>
    <w:p w14:paraId="0C045918" w14:textId="77777777" w:rsidR="00D3348F" w:rsidRPr="00D3348F" w:rsidRDefault="00D3348F" w:rsidP="00D3348F">
      <w:pPr>
        <w:numPr>
          <w:ilvl w:val="0"/>
          <w:numId w:val="27"/>
        </w:numPr>
        <w:rPr>
          <w:rFonts w:ascii="Calibri" w:hAnsi="Calibri" w:cs="Calibri"/>
          <w:sz w:val="24"/>
          <w:szCs w:val="24"/>
        </w:rPr>
      </w:pPr>
      <w:r w:rsidRPr="00D3348F">
        <w:rPr>
          <w:rFonts w:ascii="Calibri" w:hAnsi="Calibri" w:cs="Calibri"/>
          <w:b/>
          <w:bCs/>
          <w:sz w:val="24"/>
          <w:szCs w:val="24"/>
        </w:rPr>
        <w:t>Wearables Expansion</w:t>
      </w:r>
      <w:r w:rsidRPr="00D3348F">
        <w:rPr>
          <w:rFonts w:ascii="Calibri" w:hAnsi="Calibri" w:cs="Calibri"/>
          <w:sz w:val="24"/>
          <w:szCs w:val="24"/>
        </w:rPr>
        <w:t>: Invest in R&amp;D to capitalize on the rapid growth of wearables.</w:t>
      </w:r>
    </w:p>
    <w:p w14:paraId="1DDA9BBA" w14:textId="77777777" w:rsidR="00D3348F" w:rsidRPr="00D3348F" w:rsidRDefault="00D3348F" w:rsidP="00D3348F">
      <w:pPr>
        <w:numPr>
          <w:ilvl w:val="0"/>
          <w:numId w:val="27"/>
        </w:numPr>
        <w:rPr>
          <w:rFonts w:ascii="Calibri" w:hAnsi="Calibri" w:cs="Calibri"/>
          <w:sz w:val="24"/>
          <w:szCs w:val="24"/>
        </w:rPr>
      </w:pPr>
      <w:r w:rsidRPr="00D3348F">
        <w:rPr>
          <w:rFonts w:ascii="Calibri" w:hAnsi="Calibri" w:cs="Calibri"/>
          <w:b/>
          <w:bCs/>
          <w:sz w:val="24"/>
          <w:szCs w:val="24"/>
        </w:rPr>
        <w:t>Price Optimization</w:t>
      </w:r>
      <w:r w:rsidRPr="00D3348F">
        <w:rPr>
          <w:rFonts w:ascii="Calibri" w:hAnsi="Calibri" w:cs="Calibri"/>
          <w:sz w:val="24"/>
          <w:szCs w:val="24"/>
        </w:rPr>
        <w:t>: In mature markets like North America and Europe, focus on mid-range products and promotional campaigns to capture price-sensitive consumers.</w:t>
      </w:r>
    </w:p>
    <w:p w14:paraId="6694F646" w14:textId="77777777" w:rsidR="00D3348F" w:rsidRPr="00D3348F" w:rsidRDefault="00D3348F" w:rsidP="00F5531A">
      <w:pPr>
        <w:rPr>
          <w:rFonts w:ascii="Calibri" w:hAnsi="Calibri" w:cs="Calibri"/>
          <w:b/>
          <w:bCs/>
          <w:sz w:val="28"/>
          <w:szCs w:val="28"/>
        </w:rPr>
      </w:pPr>
      <w:r w:rsidRPr="00D3348F">
        <w:rPr>
          <w:rFonts w:ascii="Calibri" w:hAnsi="Calibri" w:cs="Calibri"/>
          <w:b/>
          <w:bCs/>
          <w:sz w:val="28"/>
          <w:szCs w:val="28"/>
        </w:rPr>
        <w:t>7. Conclusion</w:t>
      </w:r>
    </w:p>
    <w:p w14:paraId="7BB8D51C" w14:textId="77777777" w:rsidR="00D3348F" w:rsidRPr="00D3348F" w:rsidRDefault="00D3348F" w:rsidP="00D3348F">
      <w:pPr>
        <w:ind w:left="720"/>
        <w:rPr>
          <w:rFonts w:ascii="Calibri" w:hAnsi="Calibri" w:cs="Calibri"/>
          <w:sz w:val="24"/>
          <w:szCs w:val="24"/>
        </w:rPr>
      </w:pPr>
      <w:r w:rsidRPr="00D3348F">
        <w:rPr>
          <w:rFonts w:ascii="Calibri" w:hAnsi="Calibri" w:cs="Calibri"/>
          <w:sz w:val="24"/>
          <w:szCs w:val="24"/>
        </w:rPr>
        <w:t>The global electronics market shows dynamic growth opportunities, particularly in wearables and emerging regions. By leveraging these insights, companies can optimize strategies, product offerings, and market positioning. Future research should explore customer satisfaction and the long-term impact of emerging technologies on market dynamics.</w:t>
      </w:r>
    </w:p>
    <w:p w14:paraId="6F8DDD69" w14:textId="77777777" w:rsidR="00D3348F" w:rsidRPr="00D3348F" w:rsidRDefault="00D3348F" w:rsidP="00D3348F">
      <w:pPr>
        <w:ind w:left="720"/>
        <w:rPr>
          <w:rFonts w:ascii="Calibri" w:hAnsi="Calibri" w:cs="Calibri"/>
          <w:b/>
          <w:bCs/>
          <w:sz w:val="28"/>
          <w:szCs w:val="28"/>
        </w:rPr>
      </w:pPr>
    </w:p>
    <w:p w14:paraId="4EB8D6B9" w14:textId="3577B131" w:rsidR="00511962" w:rsidRPr="00511962" w:rsidRDefault="00511962" w:rsidP="003B7305">
      <w:pPr>
        <w:rPr>
          <w:rFonts w:ascii="Calibri" w:hAnsi="Calibri" w:cs="Calibri"/>
          <w:sz w:val="24"/>
          <w:szCs w:val="24"/>
        </w:rPr>
      </w:pPr>
    </w:p>
    <w:p w14:paraId="27DEC72B" w14:textId="77777777" w:rsidR="001B05F6" w:rsidRPr="001B05F6" w:rsidRDefault="001B05F6" w:rsidP="001B05F6">
      <w:pPr>
        <w:ind w:firstLine="720"/>
        <w:rPr>
          <w:rFonts w:ascii="Calibri" w:hAnsi="Calibri" w:cs="Calibri"/>
          <w:b/>
          <w:bCs/>
          <w:sz w:val="36"/>
          <w:szCs w:val="36"/>
        </w:rPr>
      </w:pPr>
    </w:p>
    <w:sectPr w:rsidR="001B05F6" w:rsidRPr="001B0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14E1"/>
    <w:multiLevelType w:val="hybridMultilevel"/>
    <w:tmpl w:val="77F6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448F9"/>
    <w:multiLevelType w:val="hybridMultilevel"/>
    <w:tmpl w:val="892256E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129C199F"/>
    <w:multiLevelType w:val="multilevel"/>
    <w:tmpl w:val="546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6A88"/>
    <w:multiLevelType w:val="hybridMultilevel"/>
    <w:tmpl w:val="9B5C897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B3321"/>
    <w:multiLevelType w:val="hybridMultilevel"/>
    <w:tmpl w:val="0E402502"/>
    <w:lvl w:ilvl="0" w:tplc="25823D9C">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D9019E"/>
    <w:multiLevelType w:val="multilevel"/>
    <w:tmpl w:val="960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57AC8"/>
    <w:multiLevelType w:val="hybridMultilevel"/>
    <w:tmpl w:val="1840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E6FC3"/>
    <w:multiLevelType w:val="multilevel"/>
    <w:tmpl w:val="AC1C4A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8062A16"/>
    <w:multiLevelType w:val="multilevel"/>
    <w:tmpl w:val="81B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F37EE"/>
    <w:multiLevelType w:val="multilevel"/>
    <w:tmpl w:val="BE1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C4542"/>
    <w:multiLevelType w:val="hybridMultilevel"/>
    <w:tmpl w:val="EAA0B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C233C"/>
    <w:multiLevelType w:val="hybridMultilevel"/>
    <w:tmpl w:val="B8F88F7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30265B06"/>
    <w:multiLevelType w:val="multilevel"/>
    <w:tmpl w:val="78C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92B36"/>
    <w:multiLevelType w:val="multilevel"/>
    <w:tmpl w:val="345E755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32B37"/>
    <w:multiLevelType w:val="multilevel"/>
    <w:tmpl w:val="342275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B0903C9"/>
    <w:multiLevelType w:val="multilevel"/>
    <w:tmpl w:val="AA2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A3148"/>
    <w:multiLevelType w:val="multilevel"/>
    <w:tmpl w:val="8D0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443B4"/>
    <w:multiLevelType w:val="multilevel"/>
    <w:tmpl w:val="2828F8DC"/>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8" w15:restartNumberingAfterBreak="0">
    <w:nsid w:val="4BA71207"/>
    <w:multiLevelType w:val="hybridMultilevel"/>
    <w:tmpl w:val="70106F26"/>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9" w15:restartNumberingAfterBreak="0">
    <w:nsid w:val="4DBC5F86"/>
    <w:multiLevelType w:val="hybridMultilevel"/>
    <w:tmpl w:val="E7C6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5F5EC5"/>
    <w:multiLevelType w:val="hybridMultilevel"/>
    <w:tmpl w:val="F5D48504"/>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1" w15:restartNumberingAfterBreak="0">
    <w:nsid w:val="6A712E3A"/>
    <w:multiLevelType w:val="multilevel"/>
    <w:tmpl w:val="6590D1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D0A77BE"/>
    <w:multiLevelType w:val="hybridMultilevel"/>
    <w:tmpl w:val="4D983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586C53"/>
    <w:multiLevelType w:val="multilevel"/>
    <w:tmpl w:val="F1F0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47EF6"/>
    <w:multiLevelType w:val="multilevel"/>
    <w:tmpl w:val="0F54497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7D6E3A5D"/>
    <w:multiLevelType w:val="hybridMultilevel"/>
    <w:tmpl w:val="6B66B0B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6" w15:restartNumberingAfterBreak="0">
    <w:nsid w:val="7F6D54A5"/>
    <w:multiLevelType w:val="hybridMultilevel"/>
    <w:tmpl w:val="1A3CE3C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217136807">
    <w:abstractNumId w:val="19"/>
  </w:num>
  <w:num w:numId="2" w16cid:durableId="1126583962">
    <w:abstractNumId w:val="6"/>
  </w:num>
  <w:num w:numId="3" w16cid:durableId="331179403">
    <w:abstractNumId w:val="3"/>
  </w:num>
  <w:num w:numId="4" w16cid:durableId="598685558">
    <w:abstractNumId w:val="16"/>
  </w:num>
  <w:num w:numId="5" w16cid:durableId="655453308">
    <w:abstractNumId w:val="15"/>
  </w:num>
  <w:num w:numId="6" w16cid:durableId="503085124">
    <w:abstractNumId w:val="10"/>
  </w:num>
  <w:num w:numId="7" w16cid:durableId="102312767">
    <w:abstractNumId w:val="20"/>
  </w:num>
  <w:num w:numId="8" w16cid:durableId="773861300">
    <w:abstractNumId w:val="18"/>
  </w:num>
  <w:num w:numId="9" w16cid:durableId="2013339069">
    <w:abstractNumId w:val="0"/>
  </w:num>
  <w:num w:numId="10" w16cid:durableId="1297645043">
    <w:abstractNumId w:val="17"/>
  </w:num>
  <w:num w:numId="11" w16cid:durableId="996029896">
    <w:abstractNumId w:val="24"/>
  </w:num>
  <w:num w:numId="12" w16cid:durableId="575286583">
    <w:abstractNumId w:val="12"/>
  </w:num>
  <w:num w:numId="13" w16cid:durableId="1694578307">
    <w:abstractNumId w:val="25"/>
  </w:num>
  <w:num w:numId="14" w16cid:durableId="383142443">
    <w:abstractNumId w:val="1"/>
  </w:num>
  <w:num w:numId="15" w16cid:durableId="1616595702">
    <w:abstractNumId w:val="26"/>
  </w:num>
  <w:num w:numId="16" w16cid:durableId="804390866">
    <w:abstractNumId w:val="11"/>
  </w:num>
  <w:num w:numId="17" w16cid:durableId="1335455914">
    <w:abstractNumId w:val="8"/>
  </w:num>
  <w:num w:numId="18" w16cid:durableId="1685476212">
    <w:abstractNumId w:val="2"/>
  </w:num>
  <w:num w:numId="19" w16cid:durableId="1011177860">
    <w:abstractNumId w:val="5"/>
  </w:num>
  <w:num w:numId="20" w16cid:durableId="607931290">
    <w:abstractNumId w:val="4"/>
  </w:num>
  <w:num w:numId="21" w16cid:durableId="45497210">
    <w:abstractNumId w:val="13"/>
  </w:num>
  <w:num w:numId="22" w16cid:durableId="713038031">
    <w:abstractNumId w:val="22"/>
  </w:num>
  <w:num w:numId="23" w16cid:durableId="1652951998">
    <w:abstractNumId w:val="14"/>
  </w:num>
  <w:num w:numId="24" w16cid:durableId="822545360">
    <w:abstractNumId w:val="7"/>
  </w:num>
  <w:num w:numId="25" w16cid:durableId="152067598">
    <w:abstractNumId w:val="21"/>
  </w:num>
  <w:num w:numId="26" w16cid:durableId="374081820">
    <w:abstractNumId w:val="23"/>
  </w:num>
  <w:num w:numId="27" w16cid:durableId="954363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67"/>
    <w:rsid w:val="00012526"/>
    <w:rsid w:val="00093981"/>
    <w:rsid w:val="000A6CD8"/>
    <w:rsid w:val="000A71C1"/>
    <w:rsid w:val="000E405B"/>
    <w:rsid w:val="0011242B"/>
    <w:rsid w:val="0013240E"/>
    <w:rsid w:val="0016505F"/>
    <w:rsid w:val="001831ED"/>
    <w:rsid w:val="00194E56"/>
    <w:rsid w:val="001B05F6"/>
    <w:rsid w:val="001B4354"/>
    <w:rsid w:val="001B6319"/>
    <w:rsid w:val="001D755F"/>
    <w:rsid w:val="001E2B7A"/>
    <w:rsid w:val="001F164C"/>
    <w:rsid w:val="00211FA6"/>
    <w:rsid w:val="00246EB9"/>
    <w:rsid w:val="00270014"/>
    <w:rsid w:val="00287E36"/>
    <w:rsid w:val="002931A9"/>
    <w:rsid w:val="002F5F64"/>
    <w:rsid w:val="00322399"/>
    <w:rsid w:val="003673E7"/>
    <w:rsid w:val="003B40B0"/>
    <w:rsid w:val="003B7305"/>
    <w:rsid w:val="003D01EE"/>
    <w:rsid w:val="003D0DE1"/>
    <w:rsid w:val="00403CDA"/>
    <w:rsid w:val="00414805"/>
    <w:rsid w:val="00416D84"/>
    <w:rsid w:val="004521CA"/>
    <w:rsid w:val="0046360D"/>
    <w:rsid w:val="0046551E"/>
    <w:rsid w:val="004767D2"/>
    <w:rsid w:val="004A39E1"/>
    <w:rsid w:val="004C31FB"/>
    <w:rsid w:val="004E61A6"/>
    <w:rsid w:val="004F3B0A"/>
    <w:rsid w:val="00511962"/>
    <w:rsid w:val="005E3013"/>
    <w:rsid w:val="00607697"/>
    <w:rsid w:val="0061001F"/>
    <w:rsid w:val="00664CFA"/>
    <w:rsid w:val="00682FA4"/>
    <w:rsid w:val="00692F99"/>
    <w:rsid w:val="006E5752"/>
    <w:rsid w:val="007557A7"/>
    <w:rsid w:val="007651AE"/>
    <w:rsid w:val="007E7847"/>
    <w:rsid w:val="00822F4A"/>
    <w:rsid w:val="00890647"/>
    <w:rsid w:val="008A719B"/>
    <w:rsid w:val="008B451A"/>
    <w:rsid w:val="008D6223"/>
    <w:rsid w:val="009A7A14"/>
    <w:rsid w:val="009B6C37"/>
    <w:rsid w:val="009F51A4"/>
    <w:rsid w:val="00A02572"/>
    <w:rsid w:val="00A11C9A"/>
    <w:rsid w:val="00A1603A"/>
    <w:rsid w:val="00A45DE0"/>
    <w:rsid w:val="00A5422A"/>
    <w:rsid w:val="00A96B91"/>
    <w:rsid w:val="00AB2EA5"/>
    <w:rsid w:val="00AB645B"/>
    <w:rsid w:val="00AD1BCE"/>
    <w:rsid w:val="00AD7B3A"/>
    <w:rsid w:val="00AE6151"/>
    <w:rsid w:val="00B0169D"/>
    <w:rsid w:val="00B01BF7"/>
    <w:rsid w:val="00B01EBB"/>
    <w:rsid w:val="00B04C21"/>
    <w:rsid w:val="00B16CCF"/>
    <w:rsid w:val="00B7485C"/>
    <w:rsid w:val="00B80197"/>
    <w:rsid w:val="00BA11D7"/>
    <w:rsid w:val="00BA6BF5"/>
    <w:rsid w:val="00BD5396"/>
    <w:rsid w:val="00C205F0"/>
    <w:rsid w:val="00C32F20"/>
    <w:rsid w:val="00C62B7A"/>
    <w:rsid w:val="00C72A3A"/>
    <w:rsid w:val="00C87267"/>
    <w:rsid w:val="00CA37E7"/>
    <w:rsid w:val="00CB3ED6"/>
    <w:rsid w:val="00CC6EE0"/>
    <w:rsid w:val="00CF32D1"/>
    <w:rsid w:val="00D23D57"/>
    <w:rsid w:val="00D27C86"/>
    <w:rsid w:val="00D3348F"/>
    <w:rsid w:val="00D34DEF"/>
    <w:rsid w:val="00D535B8"/>
    <w:rsid w:val="00E90CC7"/>
    <w:rsid w:val="00EB24A4"/>
    <w:rsid w:val="00ED1DB7"/>
    <w:rsid w:val="00F257BB"/>
    <w:rsid w:val="00F5416F"/>
    <w:rsid w:val="00F5531A"/>
    <w:rsid w:val="00F72294"/>
    <w:rsid w:val="00FC2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E2"/>
  <w15:chartTrackingRefBased/>
  <w15:docId w15:val="{F6E14C60-E4BF-44D0-9EB8-C1BAEFF5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B7"/>
  </w:style>
  <w:style w:type="paragraph" w:styleId="Heading1">
    <w:name w:val="heading 1"/>
    <w:basedOn w:val="Normal"/>
    <w:next w:val="Normal"/>
    <w:link w:val="Heading1Char"/>
    <w:uiPriority w:val="9"/>
    <w:qFormat/>
    <w:rsid w:val="00C8726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26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8726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8726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8726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8726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8726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8726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8726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26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8726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8726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8726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8726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8726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8726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7267"/>
    <w:rPr>
      <w:b/>
      <w:bCs/>
      <w:i/>
      <w:iCs/>
    </w:rPr>
  </w:style>
  <w:style w:type="paragraph" w:styleId="Title">
    <w:name w:val="Title"/>
    <w:basedOn w:val="Normal"/>
    <w:next w:val="Normal"/>
    <w:link w:val="TitleChar"/>
    <w:uiPriority w:val="10"/>
    <w:qFormat/>
    <w:rsid w:val="00C8726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87267"/>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87267"/>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87267"/>
    <w:rPr>
      <w:color w:val="0E2841" w:themeColor="text2"/>
      <w:sz w:val="28"/>
      <w:szCs w:val="28"/>
    </w:rPr>
  </w:style>
  <w:style w:type="paragraph" w:styleId="Quote">
    <w:name w:val="Quote"/>
    <w:basedOn w:val="Normal"/>
    <w:next w:val="Normal"/>
    <w:link w:val="QuoteChar"/>
    <w:uiPriority w:val="29"/>
    <w:qFormat/>
    <w:rsid w:val="00C87267"/>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87267"/>
    <w:rPr>
      <w:i/>
      <w:iCs/>
      <w:color w:val="124F1A" w:themeColor="accent3" w:themeShade="BF"/>
      <w:sz w:val="24"/>
      <w:szCs w:val="24"/>
    </w:rPr>
  </w:style>
  <w:style w:type="paragraph" w:styleId="ListParagraph">
    <w:name w:val="List Paragraph"/>
    <w:basedOn w:val="Normal"/>
    <w:uiPriority w:val="34"/>
    <w:qFormat/>
    <w:rsid w:val="00C87267"/>
    <w:pPr>
      <w:ind w:left="720"/>
      <w:contextualSpacing/>
    </w:pPr>
  </w:style>
  <w:style w:type="character" w:styleId="IntenseEmphasis">
    <w:name w:val="Intense Emphasis"/>
    <w:basedOn w:val="DefaultParagraphFont"/>
    <w:uiPriority w:val="21"/>
    <w:qFormat/>
    <w:rsid w:val="00C87267"/>
    <w:rPr>
      <w:b/>
      <w:bCs/>
      <w:i/>
      <w:iCs/>
      <w:color w:val="auto"/>
    </w:rPr>
  </w:style>
  <w:style w:type="paragraph" w:styleId="IntenseQuote">
    <w:name w:val="Intense Quote"/>
    <w:basedOn w:val="Normal"/>
    <w:next w:val="Normal"/>
    <w:link w:val="IntenseQuoteChar"/>
    <w:uiPriority w:val="30"/>
    <w:qFormat/>
    <w:rsid w:val="00C8726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87267"/>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87267"/>
    <w:rPr>
      <w:b/>
      <w:bCs/>
      <w:caps w:val="0"/>
      <w:smallCaps/>
      <w:color w:val="auto"/>
      <w:spacing w:val="0"/>
      <w:u w:val="single"/>
    </w:rPr>
  </w:style>
  <w:style w:type="paragraph" w:styleId="Caption">
    <w:name w:val="caption"/>
    <w:basedOn w:val="Normal"/>
    <w:next w:val="Normal"/>
    <w:uiPriority w:val="35"/>
    <w:semiHidden/>
    <w:unhideWhenUsed/>
    <w:qFormat/>
    <w:rsid w:val="00C87267"/>
    <w:pPr>
      <w:spacing w:line="240" w:lineRule="auto"/>
    </w:pPr>
    <w:rPr>
      <w:b/>
      <w:bCs/>
      <w:color w:val="404040" w:themeColor="text1" w:themeTint="BF"/>
      <w:sz w:val="16"/>
      <w:szCs w:val="16"/>
    </w:rPr>
  </w:style>
  <w:style w:type="character" w:styleId="Strong">
    <w:name w:val="Strong"/>
    <w:basedOn w:val="DefaultParagraphFont"/>
    <w:uiPriority w:val="22"/>
    <w:qFormat/>
    <w:rsid w:val="00C87267"/>
    <w:rPr>
      <w:b/>
      <w:bCs/>
    </w:rPr>
  </w:style>
  <w:style w:type="character" w:styleId="Emphasis">
    <w:name w:val="Emphasis"/>
    <w:basedOn w:val="DefaultParagraphFont"/>
    <w:uiPriority w:val="20"/>
    <w:qFormat/>
    <w:rsid w:val="00C87267"/>
    <w:rPr>
      <w:i/>
      <w:iCs/>
      <w:color w:val="000000" w:themeColor="text1"/>
    </w:rPr>
  </w:style>
  <w:style w:type="paragraph" w:styleId="NoSpacing">
    <w:name w:val="No Spacing"/>
    <w:uiPriority w:val="1"/>
    <w:qFormat/>
    <w:rsid w:val="00C87267"/>
    <w:pPr>
      <w:spacing w:after="0" w:line="240" w:lineRule="auto"/>
    </w:pPr>
  </w:style>
  <w:style w:type="character" w:styleId="SubtleEmphasis">
    <w:name w:val="Subtle Emphasis"/>
    <w:basedOn w:val="DefaultParagraphFont"/>
    <w:uiPriority w:val="19"/>
    <w:qFormat/>
    <w:rsid w:val="00C87267"/>
    <w:rPr>
      <w:i/>
      <w:iCs/>
      <w:color w:val="595959" w:themeColor="text1" w:themeTint="A6"/>
    </w:rPr>
  </w:style>
  <w:style w:type="character" w:styleId="SubtleReference">
    <w:name w:val="Subtle Reference"/>
    <w:basedOn w:val="DefaultParagraphFont"/>
    <w:uiPriority w:val="31"/>
    <w:qFormat/>
    <w:rsid w:val="00C8726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87267"/>
    <w:rPr>
      <w:b/>
      <w:bCs/>
      <w:caps w:val="0"/>
      <w:smallCaps/>
      <w:spacing w:val="0"/>
    </w:rPr>
  </w:style>
  <w:style w:type="paragraph" w:styleId="TOCHeading">
    <w:name w:val="TOC Heading"/>
    <w:basedOn w:val="Heading1"/>
    <w:next w:val="Normal"/>
    <w:uiPriority w:val="39"/>
    <w:semiHidden/>
    <w:unhideWhenUsed/>
    <w:qFormat/>
    <w:rsid w:val="00C87267"/>
    <w:pPr>
      <w:outlineLvl w:val="9"/>
    </w:pPr>
  </w:style>
  <w:style w:type="paragraph" w:styleId="NormalWeb">
    <w:name w:val="Normal (Web)"/>
    <w:basedOn w:val="Normal"/>
    <w:uiPriority w:val="99"/>
    <w:semiHidden/>
    <w:unhideWhenUsed/>
    <w:rsid w:val="00F722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5247">
      <w:bodyDiv w:val="1"/>
      <w:marLeft w:val="0"/>
      <w:marRight w:val="0"/>
      <w:marTop w:val="0"/>
      <w:marBottom w:val="0"/>
      <w:divBdr>
        <w:top w:val="none" w:sz="0" w:space="0" w:color="auto"/>
        <w:left w:val="none" w:sz="0" w:space="0" w:color="auto"/>
        <w:bottom w:val="none" w:sz="0" w:space="0" w:color="auto"/>
        <w:right w:val="none" w:sz="0" w:space="0" w:color="auto"/>
      </w:divBdr>
    </w:div>
    <w:div w:id="126049633">
      <w:bodyDiv w:val="1"/>
      <w:marLeft w:val="0"/>
      <w:marRight w:val="0"/>
      <w:marTop w:val="0"/>
      <w:marBottom w:val="0"/>
      <w:divBdr>
        <w:top w:val="none" w:sz="0" w:space="0" w:color="auto"/>
        <w:left w:val="none" w:sz="0" w:space="0" w:color="auto"/>
        <w:bottom w:val="none" w:sz="0" w:space="0" w:color="auto"/>
        <w:right w:val="none" w:sz="0" w:space="0" w:color="auto"/>
      </w:divBdr>
    </w:div>
    <w:div w:id="128088819">
      <w:bodyDiv w:val="1"/>
      <w:marLeft w:val="0"/>
      <w:marRight w:val="0"/>
      <w:marTop w:val="0"/>
      <w:marBottom w:val="0"/>
      <w:divBdr>
        <w:top w:val="none" w:sz="0" w:space="0" w:color="auto"/>
        <w:left w:val="none" w:sz="0" w:space="0" w:color="auto"/>
        <w:bottom w:val="none" w:sz="0" w:space="0" w:color="auto"/>
        <w:right w:val="none" w:sz="0" w:space="0" w:color="auto"/>
      </w:divBdr>
    </w:div>
    <w:div w:id="128939998">
      <w:bodyDiv w:val="1"/>
      <w:marLeft w:val="0"/>
      <w:marRight w:val="0"/>
      <w:marTop w:val="0"/>
      <w:marBottom w:val="0"/>
      <w:divBdr>
        <w:top w:val="none" w:sz="0" w:space="0" w:color="auto"/>
        <w:left w:val="none" w:sz="0" w:space="0" w:color="auto"/>
        <w:bottom w:val="none" w:sz="0" w:space="0" w:color="auto"/>
        <w:right w:val="none" w:sz="0" w:space="0" w:color="auto"/>
      </w:divBdr>
    </w:div>
    <w:div w:id="255406561">
      <w:bodyDiv w:val="1"/>
      <w:marLeft w:val="0"/>
      <w:marRight w:val="0"/>
      <w:marTop w:val="0"/>
      <w:marBottom w:val="0"/>
      <w:divBdr>
        <w:top w:val="none" w:sz="0" w:space="0" w:color="auto"/>
        <w:left w:val="none" w:sz="0" w:space="0" w:color="auto"/>
        <w:bottom w:val="none" w:sz="0" w:space="0" w:color="auto"/>
        <w:right w:val="none" w:sz="0" w:space="0" w:color="auto"/>
      </w:divBdr>
    </w:div>
    <w:div w:id="287245108">
      <w:bodyDiv w:val="1"/>
      <w:marLeft w:val="0"/>
      <w:marRight w:val="0"/>
      <w:marTop w:val="0"/>
      <w:marBottom w:val="0"/>
      <w:divBdr>
        <w:top w:val="none" w:sz="0" w:space="0" w:color="auto"/>
        <w:left w:val="none" w:sz="0" w:space="0" w:color="auto"/>
        <w:bottom w:val="none" w:sz="0" w:space="0" w:color="auto"/>
        <w:right w:val="none" w:sz="0" w:space="0" w:color="auto"/>
      </w:divBdr>
    </w:div>
    <w:div w:id="369190280">
      <w:bodyDiv w:val="1"/>
      <w:marLeft w:val="0"/>
      <w:marRight w:val="0"/>
      <w:marTop w:val="0"/>
      <w:marBottom w:val="0"/>
      <w:divBdr>
        <w:top w:val="none" w:sz="0" w:space="0" w:color="auto"/>
        <w:left w:val="none" w:sz="0" w:space="0" w:color="auto"/>
        <w:bottom w:val="none" w:sz="0" w:space="0" w:color="auto"/>
        <w:right w:val="none" w:sz="0" w:space="0" w:color="auto"/>
      </w:divBdr>
    </w:div>
    <w:div w:id="626787899">
      <w:bodyDiv w:val="1"/>
      <w:marLeft w:val="0"/>
      <w:marRight w:val="0"/>
      <w:marTop w:val="0"/>
      <w:marBottom w:val="0"/>
      <w:divBdr>
        <w:top w:val="none" w:sz="0" w:space="0" w:color="auto"/>
        <w:left w:val="none" w:sz="0" w:space="0" w:color="auto"/>
        <w:bottom w:val="none" w:sz="0" w:space="0" w:color="auto"/>
        <w:right w:val="none" w:sz="0" w:space="0" w:color="auto"/>
      </w:divBdr>
    </w:div>
    <w:div w:id="673339408">
      <w:bodyDiv w:val="1"/>
      <w:marLeft w:val="0"/>
      <w:marRight w:val="0"/>
      <w:marTop w:val="0"/>
      <w:marBottom w:val="0"/>
      <w:divBdr>
        <w:top w:val="none" w:sz="0" w:space="0" w:color="auto"/>
        <w:left w:val="none" w:sz="0" w:space="0" w:color="auto"/>
        <w:bottom w:val="none" w:sz="0" w:space="0" w:color="auto"/>
        <w:right w:val="none" w:sz="0" w:space="0" w:color="auto"/>
      </w:divBdr>
    </w:div>
    <w:div w:id="980496838">
      <w:bodyDiv w:val="1"/>
      <w:marLeft w:val="0"/>
      <w:marRight w:val="0"/>
      <w:marTop w:val="0"/>
      <w:marBottom w:val="0"/>
      <w:divBdr>
        <w:top w:val="none" w:sz="0" w:space="0" w:color="auto"/>
        <w:left w:val="none" w:sz="0" w:space="0" w:color="auto"/>
        <w:bottom w:val="none" w:sz="0" w:space="0" w:color="auto"/>
        <w:right w:val="none" w:sz="0" w:space="0" w:color="auto"/>
      </w:divBdr>
    </w:div>
    <w:div w:id="981009617">
      <w:bodyDiv w:val="1"/>
      <w:marLeft w:val="0"/>
      <w:marRight w:val="0"/>
      <w:marTop w:val="0"/>
      <w:marBottom w:val="0"/>
      <w:divBdr>
        <w:top w:val="none" w:sz="0" w:space="0" w:color="auto"/>
        <w:left w:val="none" w:sz="0" w:space="0" w:color="auto"/>
        <w:bottom w:val="none" w:sz="0" w:space="0" w:color="auto"/>
        <w:right w:val="none" w:sz="0" w:space="0" w:color="auto"/>
      </w:divBdr>
    </w:div>
    <w:div w:id="1043555898">
      <w:bodyDiv w:val="1"/>
      <w:marLeft w:val="0"/>
      <w:marRight w:val="0"/>
      <w:marTop w:val="0"/>
      <w:marBottom w:val="0"/>
      <w:divBdr>
        <w:top w:val="none" w:sz="0" w:space="0" w:color="auto"/>
        <w:left w:val="none" w:sz="0" w:space="0" w:color="auto"/>
        <w:bottom w:val="none" w:sz="0" w:space="0" w:color="auto"/>
        <w:right w:val="none" w:sz="0" w:space="0" w:color="auto"/>
      </w:divBdr>
    </w:div>
    <w:div w:id="1096747279">
      <w:bodyDiv w:val="1"/>
      <w:marLeft w:val="0"/>
      <w:marRight w:val="0"/>
      <w:marTop w:val="0"/>
      <w:marBottom w:val="0"/>
      <w:divBdr>
        <w:top w:val="none" w:sz="0" w:space="0" w:color="auto"/>
        <w:left w:val="none" w:sz="0" w:space="0" w:color="auto"/>
        <w:bottom w:val="none" w:sz="0" w:space="0" w:color="auto"/>
        <w:right w:val="none" w:sz="0" w:space="0" w:color="auto"/>
      </w:divBdr>
    </w:div>
    <w:div w:id="1380666691">
      <w:bodyDiv w:val="1"/>
      <w:marLeft w:val="0"/>
      <w:marRight w:val="0"/>
      <w:marTop w:val="0"/>
      <w:marBottom w:val="0"/>
      <w:divBdr>
        <w:top w:val="none" w:sz="0" w:space="0" w:color="auto"/>
        <w:left w:val="none" w:sz="0" w:space="0" w:color="auto"/>
        <w:bottom w:val="none" w:sz="0" w:space="0" w:color="auto"/>
        <w:right w:val="none" w:sz="0" w:space="0" w:color="auto"/>
      </w:divBdr>
    </w:div>
    <w:div w:id="1425302540">
      <w:bodyDiv w:val="1"/>
      <w:marLeft w:val="0"/>
      <w:marRight w:val="0"/>
      <w:marTop w:val="0"/>
      <w:marBottom w:val="0"/>
      <w:divBdr>
        <w:top w:val="none" w:sz="0" w:space="0" w:color="auto"/>
        <w:left w:val="none" w:sz="0" w:space="0" w:color="auto"/>
        <w:bottom w:val="none" w:sz="0" w:space="0" w:color="auto"/>
        <w:right w:val="none" w:sz="0" w:space="0" w:color="auto"/>
      </w:divBdr>
    </w:div>
    <w:div w:id="1581255215">
      <w:bodyDiv w:val="1"/>
      <w:marLeft w:val="0"/>
      <w:marRight w:val="0"/>
      <w:marTop w:val="0"/>
      <w:marBottom w:val="0"/>
      <w:divBdr>
        <w:top w:val="none" w:sz="0" w:space="0" w:color="auto"/>
        <w:left w:val="none" w:sz="0" w:space="0" w:color="auto"/>
        <w:bottom w:val="none" w:sz="0" w:space="0" w:color="auto"/>
        <w:right w:val="none" w:sz="0" w:space="0" w:color="auto"/>
      </w:divBdr>
    </w:div>
    <w:div w:id="1618826461">
      <w:bodyDiv w:val="1"/>
      <w:marLeft w:val="0"/>
      <w:marRight w:val="0"/>
      <w:marTop w:val="0"/>
      <w:marBottom w:val="0"/>
      <w:divBdr>
        <w:top w:val="none" w:sz="0" w:space="0" w:color="auto"/>
        <w:left w:val="none" w:sz="0" w:space="0" w:color="auto"/>
        <w:bottom w:val="none" w:sz="0" w:space="0" w:color="auto"/>
        <w:right w:val="none" w:sz="0" w:space="0" w:color="auto"/>
      </w:divBdr>
    </w:div>
    <w:div w:id="1638409934">
      <w:bodyDiv w:val="1"/>
      <w:marLeft w:val="0"/>
      <w:marRight w:val="0"/>
      <w:marTop w:val="0"/>
      <w:marBottom w:val="0"/>
      <w:divBdr>
        <w:top w:val="none" w:sz="0" w:space="0" w:color="auto"/>
        <w:left w:val="none" w:sz="0" w:space="0" w:color="auto"/>
        <w:bottom w:val="none" w:sz="0" w:space="0" w:color="auto"/>
        <w:right w:val="none" w:sz="0" w:space="0" w:color="auto"/>
      </w:divBdr>
    </w:div>
    <w:div w:id="1642345524">
      <w:bodyDiv w:val="1"/>
      <w:marLeft w:val="0"/>
      <w:marRight w:val="0"/>
      <w:marTop w:val="0"/>
      <w:marBottom w:val="0"/>
      <w:divBdr>
        <w:top w:val="none" w:sz="0" w:space="0" w:color="auto"/>
        <w:left w:val="none" w:sz="0" w:space="0" w:color="auto"/>
        <w:bottom w:val="none" w:sz="0" w:space="0" w:color="auto"/>
        <w:right w:val="none" w:sz="0" w:space="0" w:color="auto"/>
      </w:divBdr>
    </w:div>
    <w:div w:id="1651787056">
      <w:bodyDiv w:val="1"/>
      <w:marLeft w:val="0"/>
      <w:marRight w:val="0"/>
      <w:marTop w:val="0"/>
      <w:marBottom w:val="0"/>
      <w:divBdr>
        <w:top w:val="none" w:sz="0" w:space="0" w:color="auto"/>
        <w:left w:val="none" w:sz="0" w:space="0" w:color="auto"/>
        <w:bottom w:val="none" w:sz="0" w:space="0" w:color="auto"/>
        <w:right w:val="none" w:sz="0" w:space="0" w:color="auto"/>
      </w:divBdr>
    </w:div>
    <w:div w:id="1669098045">
      <w:bodyDiv w:val="1"/>
      <w:marLeft w:val="0"/>
      <w:marRight w:val="0"/>
      <w:marTop w:val="0"/>
      <w:marBottom w:val="0"/>
      <w:divBdr>
        <w:top w:val="none" w:sz="0" w:space="0" w:color="auto"/>
        <w:left w:val="none" w:sz="0" w:space="0" w:color="auto"/>
        <w:bottom w:val="none" w:sz="0" w:space="0" w:color="auto"/>
        <w:right w:val="none" w:sz="0" w:space="0" w:color="auto"/>
      </w:divBdr>
    </w:div>
    <w:div w:id="1689065056">
      <w:bodyDiv w:val="1"/>
      <w:marLeft w:val="0"/>
      <w:marRight w:val="0"/>
      <w:marTop w:val="0"/>
      <w:marBottom w:val="0"/>
      <w:divBdr>
        <w:top w:val="none" w:sz="0" w:space="0" w:color="auto"/>
        <w:left w:val="none" w:sz="0" w:space="0" w:color="auto"/>
        <w:bottom w:val="none" w:sz="0" w:space="0" w:color="auto"/>
        <w:right w:val="none" w:sz="0" w:space="0" w:color="auto"/>
      </w:divBdr>
    </w:div>
    <w:div w:id="1771194511">
      <w:bodyDiv w:val="1"/>
      <w:marLeft w:val="0"/>
      <w:marRight w:val="0"/>
      <w:marTop w:val="0"/>
      <w:marBottom w:val="0"/>
      <w:divBdr>
        <w:top w:val="none" w:sz="0" w:space="0" w:color="auto"/>
        <w:left w:val="none" w:sz="0" w:space="0" w:color="auto"/>
        <w:bottom w:val="none" w:sz="0" w:space="0" w:color="auto"/>
        <w:right w:val="none" w:sz="0" w:space="0" w:color="auto"/>
      </w:divBdr>
    </w:div>
    <w:div w:id="1818917730">
      <w:bodyDiv w:val="1"/>
      <w:marLeft w:val="0"/>
      <w:marRight w:val="0"/>
      <w:marTop w:val="0"/>
      <w:marBottom w:val="0"/>
      <w:divBdr>
        <w:top w:val="none" w:sz="0" w:space="0" w:color="auto"/>
        <w:left w:val="none" w:sz="0" w:space="0" w:color="auto"/>
        <w:bottom w:val="none" w:sz="0" w:space="0" w:color="auto"/>
        <w:right w:val="none" w:sz="0" w:space="0" w:color="auto"/>
      </w:divBdr>
    </w:div>
    <w:div w:id="1843159799">
      <w:bodyDiv w:val="1"/>
      <w:marLeft w:val="0"/>
      <w:marRight w:val="0"/>
      <w:marTop w:val="0"/>
      <w:marBottom w:val="0"/>
      <w:divBdr>
        <w:top w:val="none" w:sz="0" w:space="0" w:color="auto"/>
        <w:left w:val="none" w:sz="0" w:space="0" w:color="auto"/>
        <w:bottom w:val="none" w:sz="0" w:space="0" w:color="auto"/>
        <w:right w:val="none" w:sz="0" w:space="0" w:color="auto"/>
      </w:divBdr>
    </w:div>
    <w:div w:id="1874032756">
      <w:bodyDiv w:val="1"/>
      <w:marLeft w:val="0"/>
      <w:marRight w:val="0"/>
      <w:marTop w:val="0"/>
      <w:marBottom w:val="0"/>
      <w:divBdr>
        <w:top w:val="none" w:sz="0" w:space="0" w:color="auto"/>
        <w:left w:val="none" w:sz="0" w:space="0" w:color="auto"/>
        <w:bottom w:val="none" w:sz="0" w:space="0" w:color="auto"/>
        <w:right w:val="none" w:sz="0" w:space="0" w:color="auto"/>
      </w:divBdr>
    </w:div>
    <w:div w:id="1900432342">
      <w:bodyDiv w:val="1"/>
      <w:marLeft w:val="0"/>
      <w:marRight w:val="0"/>
      <w:marTop w:val="0"/>
      <w:marBottom w:val="0"/>
      <w:divBdr>
        <w:top w:val="none" w:sz="0" w:space="0" w:color="auto"/>
        <w:left w:val="none" w:sz="0" w:space="0" w:color="auto"/>
        <w:bottom w:val="none" w:sz="0" w:space="0" w:color="auto"/>
        <w:right w:val="none" w:sz="0" w:space="0" w:color="auto"/>
      </w:divBdr>
    </w:div>
    <w:div w:id="1966695519">
      <w:bodyDiv w:val="1"/>
      <w:marLeft w:val="0"/>
      <w:marRight w:val="0"/>
      <w:marTop w:val="0"/>
      <w:marBottom w:val="0"/>
      <w:divBdr>
        <w:top w:val="none" w:sz="0" w:space="0" w:color="auto"/>
        <w:left w:val="none" w:sz="0" w:space="0" w:color="auto"/>
        <w:bottom w:val="none" w:sz="0" w:space="0" w:color="auto"/>
        <w:right w:val="none" w:sz="0" w:space="0" w:color="auto"/>
      </w:divBdr>
    </w:div>
    <w:div w:id="20278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2</cp:revision>
  <dcterms:created xsi:type="dcterms:W3CDTF">2024-10-04T09:12:00Z</dcterms:created>
  <dcterms:modified xsi:type="dcterms:W3CDTF">2024-10-04T09:12:00Z</dcterms:modified>
</cp:coreProperties>
</file>