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0" w:line="300" w:lineRule="auto"/>
      </w:pPr>
      <w:r>
        <w:rPr>
          <w:rFonts w:ascii="Calibri" w:hAnsi="Calibri"/>
          <w:b/>
          <w:i w:val="0"/>
          <w:smallCaps/>
          <w:color w:val="B88900"/>
          <w:sz w:val="22"/>
        </w:rPr>
        <w:t>SOURCERA</w:t>
      </w:r>
    </w:p>
    <w:p>
      <w:pPr>
        <w:spacing w:before="80" w:after="160" w:line="252" w:lineRule="auto"/>
      </w:pPr>
      <w:r>
        <w:rPr>
          <w:rFonts w:ascii="Calibri" w:hAnsi="Calibri"/>
          <w:b/>
          <w:i w:val="0"/>
          <w:color w:val="0A1432"/>
          <w:sz w:val="64"/>
        </w:rPr>
        <w:t>Investor Pitch — Talk Track</w:t>
      </w:r>
    </w:p>
    <w:p>
      <w:pPr>
        <w:spacing w:before="0" w:after="320" w:line="300" w:lineRule="auto"/>
      </w:pPr>
      <w:r>
        <w:rPr>
          <w:rFonts w:ascii="Calibri" w:hAnsi="Calibri"/>
          <w:b w:val="0"/>
          <w:i/>
          <w:color w:val="4A7BFF"/>
          <w:sz w:val="32"/>
        </w:rPr>
        <w:t>Choose Correct. Move Faster.</w:t>
      </w:r>
    </w:p>
    <w:p>
      <w:pPr>
        <w:spacing w:before="0" w:after="80" w:line="300" w:lineRule="auto"/>
        <w:pBdr>
          <w:bottom w:val="single" w:sz="8" w:space="1" w:color="0A1432"/>
        </w:pBdr>
      </w:pPr>
    </w:p>
    <w:p>
      <w:pPr>
        <w:spacing w:before="160" w:after="40" w:line="300" w:lineRule="auto"/>
      </w:pPr>
      <w:r>
        <w:rPr>
          <w:rFonts w:ascii="Calibri" w:hAnsi="Calibri"/>
          <w:b/>
          <w:i w:val="0"/>
          <w:smallCaps/>
          <w:color w:val="5A6A7A"/>
          <w:sz w:val="19"/>
        </w:rPr>
        <w:t xml:space="preserve">AUDIENCE  </w:t>
      </w:r>
      <w:r>
        <w:rPr>
          <w:rFonts w:ascii="Calibri" w:hAnsi="Calibri"/>
          <w:b w:val="0"/>
          <w:i w:val="0"/>
          <w:color w:val="161E2F"/>
          <w:sz w:val="22"/>
        </w:rPr>
        <w:t>Investor (seed round — lead, follow, or angel).</w:t>
      </w:r>
    </w:p>
    <w:p>
      <w:pPr>
        <w:spacing w:before="0" w:after="40" w:line="300" w:lineRule="auto"/>
      </w:pPr>
      <w:r>
        <w:rPr>
          <w:rFonts w:ascii="Calibri" w:hAnsi="Calibri"/>
          <w:b/>
          <w:i w:val="0"/>
          <w:smallCaps/>
          <w:color w:val="5A6A7A"/>
          <w:sz w:val="19"/>
        </w:rPr>
        <w:t xml:space="preserve">TARGET RUNTIME  </w:t>
      </w:r>
      <w:r>
        <w:rPr>
          <w:rFonts w:ascii="Calibri" w:hAnsi="Calibri"/>
          <w:b w:val="0"/>
          <w:i w:val="0"/>
          <w:color w:val="161E2F"/>
          <w:sz w:val="22"/>
        </w:rPr>
        <w:t>15 minutes spoken + 10–15 minutes Q&amp;A.  Deck is 19 slides. Appendix (Slide 19) is only opened on request.</w:t>
      </w:r>
    </w:p>
    <w:p>
      <w:pPr>
        <w:spacing w:before="0" w:after="40" w:line="300" w:lineRule="auto"/>
      </w:pPr>
      <w:r>
        <w:rPr>
          <w:rFonts w:ascii="Calibri" w:hAnsi="Calibri"/>
          <w:b/>
          <w:i w:val="0"/>
          <w:smallCaps/>
          <w:color w:val="5A6A7A"/>
          <w:sz w:val="19"/>
        </w:rPr>
        <w:t xml:space="preserve">PITCH ARC  </w:t>
      </w:r>
      <w:r>
        <w:rPr>
          <w:rFonts w:ascii="Calibri" w:hAnsi="Calibri"/>
          <w:b w:val="0"/>
          <w:i w:val="0"/>
          <w:color w:val="161E2F"/>
          <w:sz w:val="22"/>
        </w:rPr>
        <w:t>Problem → Why Now → Product → Moat → Business Model → Market → Flywheel → Traction → Team → Ask.</w:t>
      </w:r>
    </w:p>
    <w:p>
      <w:pPr>
        <w:spacing w:before="0" w:after="40" w:line="300" w:lineRule="auto"/>
      </w:pPr>
      <w:r>
        <w:rPr>
          <w:rFonts w:ascii="Calibri" w:hAnsi="Calibri"/>
          <w:b/>
          <w:i w:val="0"/>
          <w:smallCaps/>
          <w:color w:val="5A6A7A"/>
          <w:sz w:val="19"/>
        </w:rPr>
        <w:t xml:space="preserve">COMPANION DECK  </w:t>
      </w:r>
      <w:r>
        <w:rPr>
          <w:rFonts w:ascii="Calibri" w:hAnsi="Calibri"/>
          <w:b w:val="0"/>
          <w:i w:val="0"/>
          <w:color w:val="161E2F"/>
          <w:sz w:val="22"/>
        </w:rPr>
        <w:t>Sourcera_Pitch_Deck.pptx  —  slide numbers cited throughout.</w:t>
      </w:r>
    </w:p>
    <w:p>
      <w:pPr>
        <w:spacing w:before="0" w:after="240" w:line="300" w:lineRule="auto"/>
      </w:pPr>
      <w:r>
        <w:rPr>
          <w:rFonts w:ascii="Calibri" w:hAnsi="Calibri"/>
          <w:b/>
          <w:i w:val="0"/>
          <w:smallCaps/>
          <w:color w:val="5A6A7A"/>
          <w:sz w:val="19"/>
        </w:rPr>
        <w:t xml:space="preserve">VERSION  </w:t>
      </w:r>
      <w:r>
        <w:rPr>
          <w:rFonts w:ascii="Calibri" w:hAnsi="Calibri"/>
          <w:b w:val="0"/>
          <w:i w:val="0"/>
          <w:color w:val="161E2F"/>
          <w:sz w:val="22"/>
        </w:rPr>
        <w:t>v1.0 — 2026-04-20.  Written for Blake Henry Rowley.  Adapt bracketed placeholders before delivery.</w:t>
      </w:r>
    </w:p>
    <w:p>
      <w:pPr>
        <w:spacing w:before="0" w:after="160" w:line="300" w:lineRule="auto"/>
        <w:pBdr>
          <w:bottom w:val="single" w:sz="6" w:space="1" w:color="C8CFD8"/>
        </w:pBdr>
      </w:pPr>
    </w:p>
    <w:p>
      <w:pPr>
        <w:spacing w:before="280" w:after="120" w:line="276" w:lineRule="auto"/>
      </w:pPr>
      <w:r>
        <w:rPr>
          <w:rFonts w:ascii="Calibri" w:hAnsi="Calibri"/>
          <w:b/>
          <w:i w:val="0"/>
          <w:smallCaps/>
          <w:color w:val="161E2F"/>
          <w:sz w:val="28"/>
        </w:rPr>
        <w:t>How to use this document</w:t>
      </w:r>
    </w:p>
    <w:p>
      <w:pPr>
        <w:spacing w:before="0" w:after="120" w:line="300" w:lineRule="auto"/>
      </w:pPr>
      <w:r>
        <w:rPr>
          <w:rFonts w:ascii="Calibri" w:hAnsi="Calibri"/>
          <w:b w:val="0"/>
          <w:i w:val="0"/>
          <w:color w:val="161E2F"/>
          <w:sz w:val="22"/>
        </w:rPr>
        <w:t>Each slide section contains four parts: the slide title, the time budget, the spoken copy, and the transition. The spoken copy is written as a first-person monologue at roughly 150 words per minute. Read it aloud before memorizing any of it. Rehearse the transitions — they are the hardest part of a pitch.</w:t>
      </w:r>
    </w:p>
    <w:p>
      <w:pPr>
        <w:spacing w:before="0" w:after="120" w:line="300" w:lineRule="auto"/>
      </w:pPr>
      <w:r>
        <w:rPr>
          <w:rFonts w:ascii="Calibri" w:hAnsi="Calibri"/>
          <w:b w:val="0"/>
          <w:i w:val="0"/>
          <w:color w:val="161E2F"/>
          <w:sz w:val="22"/>
        </w:rPr>
        <w:t>The delivery rhythm is deliberate: calm on Slides 1–3, technical and confident on 4–9, economically precise on 10–12, quietly emphatic on 13–15, evidentiary on 16–17, and sharp on 18. Slide 19 is not delivered unless an investor specifically asks about the model or downside bracket.</w:t>
      </w:r>
    </w:p>
    <w:p>
      <w:pPr>
        <w:spacing w:before="0" w:after="120" w:line="300" w:lineRule="auto"/>
      </w:pPr>
      <w:r>
        <w:rPr>
          <w:rFonts w:ascii="Calibri" w:hAnsi="Calibri"/>
          <w:b w:val="0"/>
          <w:i w:val="0"/>
          <w:color w:val="161E2F"/>
          <w:sz w:val="22"/>
        </w:rPr>
        <w:t>Three adaptations for audience type: (a) an institutional lead wants emphasis on moat, margin, and Year-3 SOM — Slides 5, 11, 12, 14; (b) a strategic / corporate investor wants Slides 6, 8, 13 — pipeline opinion, marketplace structure, and competitive displacement logic; (c) an angel with operator background responds to Slides 2, 9, 17 — problem, Hero Moment, and solo-founder thesis. The document is identical across audiences; only the energy shifts.</w:t>
      </w:r>
    </w:p>
    <w:p>
      <w:pPr>
        <w:spacing w:before="0" w:after="240" w:line="300" w:lineRule="auto"/>
      </w:pPr>
      <w:r>
        <w:rPr>
          <w:rFonts w:ascii="Calibri" w:hAnsi="Calibri"/>
          <w:b w:val="0"/>
          <w:i w:val="0"/>
          <w:color w:val="161E2F"/>
          <w:sz w:val="22"/>
        </w:rPr>
        <w:t>Bracketed fields — e.g., [ROUND SIZE], [VALUATION], [LEAD NAME] — are the only variables. Fill them in before delivery; never read them aloud as placeholders.</w:t>
      </w:r>
    </w:p>
    <w:p>
      <w:r>
        <w:br w:type="page"/>
      </w:r>
    </w:p>
    <w:p>
      <w:pPr>
        <w:spacing w:before="360" w:after="160" w:line="276" w:lineRule="auto"/>
        <w:pBdr>
          <w:bottom w:val="single" w:sz="8" w:space="1" w:color="0A1432"/>
        </w:pBdr>
      </w:pPr>
      <w:r>
        <w:rPr>
          <w:rFonts w:ascii="Calibri" w:hAnsi="Calibri"/>
          <w:b/>
          <w:i w:val="0"/>
          <w:color w:val="0A1432"/>
          <w:sz w:val="40"/>
        </w:rPr>
        <w:t>Opening discipline</w:t>
      </w:r>
    </w:p>
    <w:p>
      <w:pPr>
        <w:spacing w:before="0" w:after="160" w:line="300" w:lineRule="auto"/>
      </w:pPr>
      <w:r>
        <w:rPr>
          <w:rFonts w:ascii="Calibri" w:hAnsi="Calibri"/>
          <w:b w:val="0"/>
          <w:i w:val="0"/>
          <w:color w:val="161E2F"/>
          <w:sz w:val="22"/>
        </w:rPr>
        <w:t>Before the deck opens, the first 60 seconds in the room set the frame. The founder owns the room before Slide 1 appears.</w:t>
      </w:r>
    </w:p>
    <w:p>
      <w:pPr>
        <w:spacing w:before="280" w:after="120" w:line="276" w:lineRule="auto"/>
      </w:pPr>
      <w:r>
        <w:rPr>
          <w:rFonts w:ascii="Calibri" w:hAnsi="Calibri"/>
          <w:b/>
          <w:i w:val="0"/>
          <w:smallCaps/>
          <w:color w:val="161E2F"/>
          <w:sz w:val="28"/>
        </w:rPr>
        <w:t>The 60-second pre-pitch</w:t>
      </w:r>
    </w:p>
    <w:p>
      <w:pPr>
        <w:spacing w:before="0" w:after="120" w:line="300" w:lineRule="auto"/>
      </w:pPr>
      <w:r>
        <w:rPr>
          <w:rFonts w:ascii="Calibri" w:hAnsi="Calibri"/>
          <w:b w:val="0"/>
          <w:i w:val="0"/>
          <w:color w:val="161E2F"/>
          <w:sz w:val="22"/>
        </w:rPr>
        <w:t>Thank the room by name if small (five or fewer). Skip names if larger — go straight to the frame. Stand. Close your laptop if there is a projector. Do not open the deck until you have said the three-sentence frame.</w:t>
      </w:r>
    </w:p>
    <w:p>
      <w:pPr>
        <w:spacing w:before="40" w:after="200" w:line="300" w:lineRule="auto"/>
        <w:ind w:left="432"/>
      </w:pPr>
      <w:r>
        <w:rPr>
          <w:rFonts w:ascii="Calibri" w:hAnsi="Calibri"/>
          <w:b/>
          <w:i w:val="0"/>
          <w:smallCaps/>
          <w:color w:val="B88900"/>
          <w:sz w:val="19"/>
        </w:rPr>
        <w:t xml:space="preserve">SAY  </w:t>
      </w:r>
      <w:r>
        <w:rPr>
          <w:rFonts w:ascii="Calibri" w:hAnsi="Calibri"/>
          <w:b w:val="0"/>
          <w:i/>
          <w:color w:val="1A2A55"/>
          <w:sz w:val="22"/>
        </w:rPr>
        <w:t>“Enterprise software procurement is a trillion-dollar spend category running on Excel, email, and SharePoint. Sourcera is the only platform that runs the full evaluation workflow on both sides of that market — buyers and sellers, same organization, same AI, separated at the database query layer. I’m going to walk you through the problem, the product, the model, the market, and the ask. Fifteen minutes. Interrupt me.”</w:t>
      </w:r>
    </w:p>
    <w:p>
      <w:pPr>
        <w:spacing w:before="0" w:after="240" w:line="300" w:lineRule="auto"/>
      </w:pPr>
      <w:r>
        <w:rPr>
          <w:rFonts w:ascii="Calibri" w:hAnsi="Calibri"/>
          <w:b w:val="0"/>
          <w:i/>
          <w:color w:val="5A6A7A"/>
          <w:sz w:val="20"/>
        </w:rPr>
        <w:t>Then open the deck. Slide 1.</w:t>
      </w:r>
    </w:p>
    <w:p>
      <w:pPr>
        <w:spacing w:before="280" w:after="120" w:line="276" w:lineRule="auto"/>
      </w:pPr>
      <w:r>
        <w:rPr>
          <w:rFonts w:ascii="Calibri" w:hAnsi="Calibri"/>
          <w:b/>
          <w:i w:val="0"/>
          <w:smallCaps/>
          <w:color w:val="161E2F"/>
          <w:sz w:val="28"/>
        </w:rPr>
        <w:t>Energy rules throughout</w:t>
      </w:r>
    </w:p>
    <w:p>
      <w:pPr>
        <w:spacing w:before="0" w:after="120" w:line="300" w:lineRule="auto"/>
      </w:pPr>
      <w:r>
        <w:rPr>
          <w:rFonts w:ascii="Calibri" w:hAnsi="Calibri"/>
          <w:b w:val="0"/>
          <w:i w:val="0"/>
          <w:color w:val="161E2F"/>
          <w:sz w:val="22"/>
        </w:rPr>
        <w:t>Slow is trustworthy. A 15-minute pitch is 2,250 words. Read every piece of spoken copy below at 150 words per minute. Pause for one full second at every period in the spoken copy marked with a pause glyph ( · ). Do not read bullets from the slides. The slides are the visual; the talk track is the audio.</w:t>
      </w:r>
    </w:p>
    <w:p>
      <w:pPr>
        <w:spacing w:before="0" w:after="120" w:line="300" w:lineRule="auto"/>
      </w:pPr>
      <w:r>
        <w:rPr>
          <w:rFonts w:ascii="Calibri" w:hAnsi="Calibri"/>
          <w:b w:val="0"/>
          <w:i w:val="0"/>
          <w:color w:val="161E2F"/>
          <w:sz w:val="22"/>
        </w:rPr>
        <w:t>Do not apologize for the pre-revenue status. Do not hedge. Every sentence in the talk track is designed to be delivered as a claim, not a hope. The deck backs every claim with a number or an architectural fact.</w:t>
      </w:r>
    </w:p>
    <w:p>
      <w:pPr>
        <w:spacing w:before="0" w:after="240" w:line="300" w:lineRule="auto"/>
      </w:pPr>
      <w:r>
        <w:rPr>
          <w:rFonts w:ascii="Calibri" w:hAnsi="Calibri"/>
          <w:b w:val="0"/>
          <w:i w:val="0"/>
          <w:color w:val="161E2F"/>
          <w:sz w:val="22"/>
        </w:rPr>
        <w:t>When an investor interrupts, stop the talk track mid-sentence, answer the question precisely, then return to exactly the point you left. If you forget where you were, the printed talk track is a safety net — glance down, find the next bolded transition cue, continue. Never restate what you already said.</w:t>
      </w:r>
    </w:p>
    <w:p>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01</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Title — Choose Correct. Move Faster.</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0:30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Establish who, what, and the shape of the next 15 minutes. Calm, declarative.</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Sourcera. Choose correct, move faster. We are the operating system for enterprise software procurement. One platform, two consoles, one marketplace — buyer side and seller side, separated at the database query layer. I’m Blake Henry Rowley, founder. The next fifteen minutes cover five things: the problem, why now, the product, the model and the market, and the ask.</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Do not rush these five lines. The deck title is doing work for you — let the room read it. The second sentence is the category claim; deliver it as a fact, not as a pitch. If an investor is typing, pause until they stop.</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“Start with what’s broken today.”  →  Slide 2.</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02</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Problem — The Trillion-Dollar Workflow Nobody Tools</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0:60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Describe the gap on both sides in operator-specific detail. Frame it as a category failure, not a tooling gap.</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Enterprise software procurement is a trillion-dollar spend category running on non-enterprise tools. On the buyer side: every serious B2B software purchase takes three to nine months, involves Legal, InfoSec, IT, Finance, and the business owner, and terminates in a selection report that almost nobody can defend to an auditor. On the seller side: a ten-million-ARR B2B SaaS company has a five-person RFP team whose only tool is a spreadsheet and a SharePoint folder. Responsive and Loopio exist — but they only run the seller side. Both sides are paying enterprise money for a non-enterprise workflow. Every single evaluation starts from zero. Nothing compounds.</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The line that lands is “every single evaluation starts from zero.” Beat the period. Investors recognize non-compounding workflows as inferior business.</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“Here’s why it hasn’t been solved yet — and why it gets solved now.”  →  Slide 3.</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03</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Why Now — Five Forces Converging</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0:60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Market-timing claim. Defuse “why hasn’t this been built” by naming the specific catalysts of 2026.</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Five forces converging in 2026. One: enterprise AI budgets now have line items — every procurement team needs to evaluate AI vendors, and no tool exists for that specific evaluation. Two: compliance-triggered evaluation — SOC 2, DORA, the EU AI Act — the selection record is now an audit artifact, not a souvenir. Three: foundation-model economics finally make outcome-accounted AI pricing defensible at a gross-margin floor. Four: buyer-initiated supply-side acquisition works — Figma, Loom, Notion all proved the pattern at SaaS scale. Five: Responsive and Loopio proved sellers pay for bid-response tools, so the other half of the market is already paying. The window is open now. It closes the moment a Coupa or a Gartner decides to vertically integrate — which they will.</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End with the Coupa line deliberately. The market-timing point isn’t urgency theater — it’s the specific competitive window closing.</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“Here’s what we’re building.”  →  Slide 4.</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04</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Solution — Three Surfaces, One Platform</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0:60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Introduce the product architecture in one compact frame. Prepare the room for the moat on Slide 5.</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Sourcera is three integrated surfaces. A Buyer Console that runs a fixed thirteen-phase evaluation pipeline. A Seller Console that mirrors it for bid response. A Vendor Discovery Marketplace where buyer requirements meet seller capability declarations. One platform. One AI backbone — Anthropic-backed Agent, pooled wallet, outcome-accounted billing. The Buyer Console replaces Excel plus SharePoint plus Outlook plus PowerPoint. The Seller Console replaces Responsive, Loopio, and Google Docs. The Marketplace replaces G2 browsing plus cold outreach. Three problems, three product surfaces, one integrated system — which is why the architecture is the moat.</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“The architecture is the moat.”  →  Slide 5.</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05</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Dual-Console Architecture — The Structural Moat</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0:45</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One minute to plant the architectural moat. If the room only remembers one thing, it’s this.</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The architectural moat. The same Sourcera Organization can run both sides. Your InfoSec team can evaluate security vendors on the buyer side while your sales team responds to customer security questionnaires on the seller side — inside the same org, with strict isolation enforced at the database query layer, not the UI. Same AI wallet, same billing entity, same admin team, but zero cross-contamination. No competitor has this. Every RFP vendor picks a side. We have both, and we have the firewall between them at the schema.</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“at the schema” is the closing phrase. Investors who write enterprise SaaS checks register it immediately. Hold one beat after, then advance.</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“Here’s what runs inside those consoles.”  →  Slide 6.</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06</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The 13-Phase Pipeline — Opinionated by Design</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0:60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Justify the rigidity. Opinionated methodology is what makes outcome-accounted AI pricing possible.</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The product is opinionated. There is exactly one evaluation workflow on Sourcera, and it has thirteen phases: intake, scoping, discovery, shortlist, RFQ, response, scoring, demos, security review, commercial, legal, decision, selection report. That rigidity is the feature. Every artifact has a defined home. Every phase has defined state transitions. The AI knows where you are because the schema knows where you are. This is why we can charge on outcomes instead of seats — the product knows what “done” looks like. Unopinionated procurement tools can’t do outcome pricing, because they don’t know what an outcome is.</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“Now the AI layer that sits on top of that schema.”  →  Slide 7.</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07</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AI Capabilities — Outcome-Accounted Pricing</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0:60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Translate the AI architecture into a margin story. This is the single most investor-relevant slide in the deck.</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Twenty-one discrete AI capabilities, tiered across Opus, Sonnet, and Haiku — routed by the product, not the user. Requirements drafting, vendor discovery, RFP first-draft generation, Q-and-A suggestion, scoring assistance, risk analysis, TCO modeling, selection-report drafting. Every capability has a defined cost_base — what Anthropic charges us — and a sale price that holds gross margin at 90% or above. Here is the innovation: we bill on outcome. An AI operation the user accepts costs them roughly 10× our cost. An AI operation the user rejects costs them 1.05× our cost. The user controls the accept/reject signal. They decide what good looks like, and the pricing follows. Gross margin floor is defended at the accounting layer, not the negotiation layer.</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Investors will often interrupt here. Be ready. The short form of the answer: “At any reject ratio below 50%, blended AI gross margin stays above 90%.”</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“The third surface — where supply compounds for free.”  →  Slide 8.</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08</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Marketplace — Discovery, Not Reviews</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0:60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Differentiate from G2/Gartner. Set up the SEO-compounding claim that lands on Slide 14.</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The Vendor Discovery Marketplace. Free Seller Profiles for every vendor on day one, each emitting Schema.org structured data that compounds into a per-category SEO moat. Machine-readable Capability Declarations — not reviews, not star ratings, not paid placement. Buyers publish summary listings. Sellers submit expressions of interest. If the buyer accepts, the seller’s bid workspace is provisioned, and they enter the evaluation directly. This is not G2. G2 is a reviews directory. Sourcera is a discovery surface where the artifact is a signed capability declaration, not a user testimonial. And because every Buyer org seeds three to ten Seller orgs per evaluation, the supply side populates itself — we do not pay for seller acquisition.</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“The moment we catch a seller — the highest-leverage moment in the funnel.”  →  Slide 9.</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09</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The Hero Moment — Forced Signup, Free Value</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0:60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Investor-palatable summary of M1. The CAC-collapse claim lives here.</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The Hero Moment. A vendor gets invited to a buyer’s evaluation. They click the magic link. Before they can see the RFP, they sign up on the Seller Console — two clicks, no pricing page. In 90 seconds, we scan their website with Firecrawl, bootstrap a knowledge base of 40 to 200 entries, and generate a first-pass response draft against the buyer’s specific RFP. They land inside their own knowledge base with a half-written bid already waiting. They did not come looking for a seller tool. We caught them at the exact moment their RFP was due. Seller-side customer acquisition cost is the price of the buyer’s invitation email.</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Pause after “the buyer’s invitation email.” Let the room do the math.</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“And here’s how that monetizes.”  →  Slide 10.</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10</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Business Model — Two-Sided Pricing, One AI Wallet</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0:45</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Lock in the pricing architecture. Do not read the price ladder — name the principle, cite the anchor tiers.</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Two-sided pricing. Per-organization, never per-seat. Unlimited seats on every paid tier. Buyer tiers: free, $299, $799, $1,999 per month. Seller tiers: free, $149, $499, $1,499. Enterprise is custom, with a $3K monthly floor. Platform subscription is the commitment. AI consumption is the expansion. AI is metered at the operation level, not the seat level — which is why a ten-person buyer team and a two-person buyer team pay the same platform price and different AI prices. Fair. Predictable. And structurally uncoupled from headcount growth.</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“And here’s the shape of the revenue line.”  →  Slide 11.</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11</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Revenue Model — 90%+ Blended Gross Margin</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0:60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The investor-critical margin slide. Speak the mix, speak the margin, speak the Year-3 base case.</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Here is how this monetizes. Two revenue streams per org: platform subscription plus AI consumption. Platform is roughly 25% of revenue. AI consumption is roughly 75%. AI gross margin is structurally 90% or above. Platform gross margin is near 100%. Blended gross margin at scale: 94 to 96%. Base case at Year 3: 2,500 Buyer accounts at $4K blended ACV, plus 5,000 Seller accounts at $3K blended ACV — weighted heavily toward Starter tier — gets us to roughly $25M combined ARR. Upside case, driven by Scale and Enterprise upsell as evaluation volume compounds, is $50M-plus. We present the base case. The upside is not in the deck because it is not required to justify the round.</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“Not required to justify the round” is a deliberate line. It tells the investor the model is honest.</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“Here’s the bottoms-up market beneath that.”  →  Slide 12.</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12</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Market Size — Bottoms-Up, Defensible</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1:15</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Do not read the TAM total. Walk the assumptions. A bottoms-up TAM that survives scrutiny is worth three slides of top-down hand-waving.</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Bottoms up — no top-down hand-waving. Buyer side: roughly 100,000 US companies run formal software evaluations more than twice a year. At our blended ACV of about $6K per year, that is a $600M Buyer TAM — the serviceable top of the market. Seller side: approximately 250,000 B2B SaaS companies globally, of which about 80,000 respond to RFPs regularly. At our Seller blended ACV of $4K, that is a $320M Seller TAM. Combined TAM, conservatively, is just under $1B. SAM at Year 3 — companies reachable via buyer-invite plus organic discovery — is approximately $300M. SOM at Year 3 — our operational target — is approximately $30M, about 3% share of an achievable SAM. Three percent in three years is not the aggressive claim. The aggressive claim is the one underneath it: the two-sided flywheel compounds, and Year 4 SAM is materially larger than Year 3 SAM.</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Slow down here. Every number gets a full beat. Investors who care about bottoms-up TAM care because it filters out the teams that don’t understand their own market.</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“Who shows up against us in this market.”  →  Slide 13.</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13</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Competitive Landscape — The Empty Quadrant</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1:00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Position by quadrant, not by feature bake-off. The single strongest differentiation claim is the empty quadrant itself.</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No product occupies our quadrant. High depth plus two-sided — empty. Coupa, Ivalua, Jaggaer: deep buyer side, zero seller side. Their business is P2P and purchase-order approval, not pre-selection evaluation. Responsive, Loopio: deep seller side, zero buyer side. Their business is bid response automation for sellers. G2, Gartner, TrustRadius: two-sided discovery, zero workflow depth. Reviews, not evaluations. And the real competitor is Excel plus SharePoint plus Outlook — the status quo. Our claim is not “better than Responsive.” Our claim is “the only product that covers both sides of enterprise procurement with the full evaluation workflow.” Nobody else has the consoles, the Agent, the Marketplace, and outcome-accounted AI as a single integrated system.</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“And the reason the quadrant stays ours.”  →  Slide 14.</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14</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Growth Engine — The Asymmetric Flywheel</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1:00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Name the mechanism. Investors underwrite flywheels, not features.</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The flywheel is asymmetric — and that is the insight. Buyer activity seeds seller supply. Every buyer invitation creates a Seller Org via the Hero Moment. Every evaluation populates three to ten Seller Orgs. Seller supply drives SEO. Every Seller Profile emits Schema.org structured data per category. SEO drives inbound buyer demand. Buyer demand drives more seller invites. Each rotation makes the next rotation cheaper. Seller-side CAC is already structurally low because buyers bring sellers in. Buyer-side CAC gets cheaper every quarter as the SEO moat compounds. This is not a growth plan. This is a growth architecture.</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“This is a growth architecture” is the closer. Deliver it slower than the sentences before it.</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“The mechanics inside that flywheel.”  →  Slide 15.</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15</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Network Effects — Ten PLG Mechanics Instrumented</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1:00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Convert “flywheel” abstraction into discrete, countable mechanisms. Highlight M17 as the sharpest one.</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Ten distinct PLG mechanics, M1 through M17, every one of them live in the specification and instrumented. Vendor-invite-creates-account. Template-clone attribution. Selection Report public-link sharing. Seller-profile SEO. Free AI teaser-to-paid. Suggested team discovery. Cmd+K suggestion loop. Category pages. Comparison pages. Market intelligence reports. And M17 — Buyer-funded Pro Trial Seats. M17 is the sharpest one. Scale and Enterprise buyers can gift five to fifteen Seller Starter 30-day trials per month to invited vendors. That bypasses the seller free-tier ceiling at the exact moment of highest conversion intent. We pay for seller acquisition using the buyer’s budget.</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“What we’ve built so far.”  →  Slide 16.</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16</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What We’ve Built — The Specification is the Asset</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0:45</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Reframe “pre-revenue” into “spec complete.” Investors discount the distance from spec to ship; show the spec has already done the hard part.</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Pre-revenue. Pre-code. We have built the thing most teams skip and then regret: the specification. Six hundred pages of Master Spec. Two pricing strategies — buyer and seller, independently modeled. A Knowledge Base engineering spec. UX design tokens. A GTM corpus. Every entity has a field table. Every feature has acceptance criteria. Every AI operation has a cost model. Every plan tier has a feature-access matrix. The spec has been adversarially reviewed against itself. When we raise, we build against a document that is already internally consistent. A senior staff engineer walks in and ships — does not interpret.</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“Who’s building it.”  →  Slide 17.</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17</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Team — Solo Founder, Deliberate</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0:45</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Defuse the solo-founder objection before it is asked. The structure is the strategy.</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I’m the founder. Blake Henry Rowley. I authored every piece of the corpus — the Master Spec, both pricing strategies, the Knowledge Base engineering spec, the UX design, the GTM plan. Solo-founder by choice, not by accident. Capital efficiency: zero burn wrote the entire specification. Technical depth: staff-engineer-grade schemas, state machines, API contracts. Product coherence: opinionated by construction, not by committee reconciliation. Hiring plan funded by this round: founding engineer, design-partner engineer, applied AI engineer, founding account executive. Kept deliberately lean through the design-partner cohort.</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“Opinionated products win enterprise.” That is the spoken postscript if an investor pushes on the solo-founder point. Do not say it unless asked.</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“Here is the ask.”  →  Slide 18.</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18</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The Ask — Seed Round, Three Ways to Join</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1:30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The investor-variant spoken copy. Deliver each of the four thesis pillars as a separate claim. Then name the commercial ask.</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We are raising a seed round. [ROUND SIZE] at [VALUATION], [LEAD CHECK SIZE] lead commitment, customary board observer seat. The round funds the specification-to-shipping arc: founding engineer, founding AE, design-partner GTM, Convex plus Anthropic plus Firecrawl production infrastructure. The thesis is four parts.</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Four fingers up, one at a time. Slow. This is the single most important 45 seconds of the pitch.</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One — two-sided marketplace with forced supply-side acquisition via buyer invite. Customer acquisition cost collapses on the seller side because buyers bring sellers in. Two — outcome-accounted AI pricing. Structural 90%+ gross margin floor defended at the accounting layer, not the negotiation layer. Three — category definition. Software Evaluation Platform doesn’t have a Gartner Magic Quadrant yet. First mover defines the methodology. Second mover gets compared to it. Four — opinionated solo-founder product. The spec is internally consistent by construction, not by committee reconciliation. One decision maker, one aesthetic, one trade-off logic all the way through.</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Target: eighteen months to combined $3M ARR, conservative. Three ways to join the round: lead it; follow at the institutional level; or come in as an angel with operator experience in B2B SaaS, procurement, or enterprise sales — we have room for two or three of those, and their time is worth more than their check. What questions can I answer?</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“What questions can I answer?” is not a closing — it is the opening of Q&amp;A. Hold the silence. Do not fill it. The first question tells you what to emphasize in follow-up.</w:t>
      </w:r>
    </w:p>
    <w:p>
      <w:pPr>
        <w:spacing w:before="80" w:after="200" w:line="300" w:lineRule="auto"/>
      </w:pPr>
      <w:r>
        <w:rPr>
          <w:rFonts w:ascii="Calibri" w:hAnsi="Calibri"/>
          <w:b/>
          <w:i w:val="0"/>
          <w:smallCaps/>
          <w:color w:val="8B1A1A"/>
          <w:sz w:val="19"/>
        </w:rPr>
        <w:t xml:space="preserve">TRANSITION  </w:t>
      </w:r>
      <w:r>
        <w:rPr>
          <w:rFonts w:ascii="Calibri" w:hAnsi="Calibri"/>
          <w:b w:val="0"/>
          <w:i/>
          <w:color w:val="161E2F"/>
          <w:sz w:val="21"/>
        </w:rPr>
        <w:t>Appendix is only opened on request. Do not advance to Slide 19 unless an investor asks for the financial model.</w:t>
      </w:r>
    </w:p>
    <w:p>
      <w:pPr>
        <w:spacing w:before="0" w:after="0"/>
      </w:pPr>
      <w:r>
        <w:br w:type="page"/>
      </w:r>
    </w:p>
    <w:tbl>
      <w:tblPr>
        <w:tblW w:type="auto" w:w="0"/>
        <w:tblLayout w:type="fixed"/>
        <w:tblLook w:firstColumn="1" w:firstRow="1" w:lastColumn="0" w:lastRow="0" w:noHBand="0" w:noVBand="1" w:val="04A0"/>
      </w:tblPr>
      <w:tblGrid>
        <w:gridCol w:w="1728"/>
        <w:gridCol w:w="6192"/>
        <w:gridCol w:w="1440"/>
      </w:tblGrid>
      <w:tr>
        <w:trPr>
          <w:cantSplit/>
        </w:trPr>
        <w:tc>
          <w:tcPr>
            <w:tcW w:type="dxa" w:w="1728"/>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smallCaps/>
                <w:color w:val="B88900"/>
                <w:sz w:val="20"/>
              </w:rPr>
              <w:t>SLIDE 19</w:t>
            </w:r>
          </w:p>
        </w:tc>
        <w:tc>
          <w:tcPr>
            <w:tcW w:type="dxa" w:w="6192"/>
            <w:shd w:val="clear" w:color="auto" w:fill="0A1432"/>
            <w:tcBorders>
              <w:top w:val="single" w:sz="4" w:color="0A1432"/>
              <w:left w:val="single" w:sz="4" w:color="0A1432"/>
              <w:bottom w:val="single" w:sz="4" w:color="0A1432"/>
              <w:right w:val="single" w:sz="4" w:color="0A1432"/>
            </w:tcBorders>
            <w:vAlign w:val="center"/>
          </w:tcPr>
          <w:p>
            <w:pPr>
              <w:keepNext/>
              <w:spacing w:before="40" w:after="40"/>
            </w:pPr>
            <w:r>
              <w:rPr>
                <w:rFonts w:ascii="Calibri" w:hAnsi="Calibri"/>
                <w:b/>
                <w:i w:val="0"/>
                <w:color w:val="FFFFFF"/>
                <w:sz w:val="24"/>
              </w:rPr>
              <w:t>Appendix — Financial Model (On-Request Only)</w:t>
            </w:r>
          </w:p>
        </w:tc>
        <w:tc>
          <w:tcPr>
            <w:tcW w:type="dxa" w:w="1440"/>
            <w:shd w:val="clear" w:color="auto" w:fill="0A1432"/>
            <w:tcBorders>
              <w:top w:val="single" w:sz="4" w:color="0A1432"/>
              <w:left w:val="single" w:sz="4" w:color="0A1432"/>
              <w:bottom w:val="single" w:sz="4" w:color="0A1432"/>
              <w:right w:val="single" w:sz="4" w:color="0A1432"/>
            </w:tcBorders>
            <w:vAlign w:val="center"/>
          </w:tcPr>
          <w:p>
            <w:pPr>
              <w:keepNext/>
              <w:spacing w:before="40" w:after="40"/>
              <w:jc w:val="right"/>
            </w:pPr>
            <w:r>
              <w:rPr>
                <w:rFonts w:ascii="Consolas" w:hAnsi="Consolas"/>
                <w:b/>
                <w:i w:val="0"/>
                <w:color w:val="CADCFC"/>
                <w:sz w:val="20"/>
              </w:rPr>
              <w:t>0:30</w:t>
            </w:r>
          </w:p>
        </w:tc>
      </w:tr>
    </w:tbl>
    <w:p>
      <w:pPr>
        <w:keepNext/>
        <w:spacing w:before="80" w:after="160" w:line="300" w:lineRule="auto"/>
      </w:pPr>
      <w:r>
        <w:rPr>
          <w:rFonts w:ascii="Calibri" w:hAnsi="Calibri"/>
          <w:b/>
          <w:i w:val="0"/>
          <w:smallCaps/>
          <w:color w:val="5A6A7A"/>
          <w:sz w:val="19"/>
        </w:rPr>
        <w:t xml:space="preserve">INTENT  </w:t>
      </w:r>
      <w:r>
        <w:rPr>
          <w:rFonts w:ascii="Calibri" w:hAnsi="Calibri"/>
          <w:b w:val="0"/>
          <w:i/>
          <w:color w:val="5A6A7A"/>
          <w:sz w:val="21"/>
        </w:rPr>
        <w:t>Used if an investor drills into the Year-3 model, key drivers, or downside/upside ranges.</w:t>
      </w:r>
    </w:p>
    <w:p>
      <w:pPr>
        <w:keepNext/>
        <w:spacing w:before="80" w:after="40" w:line="300" w:lineRule="auto"/>
      </w:pPr>
      <w:r>
        <w:rPr>
          <w:rFonts w:ascii="Calibri" w:hAnsi="Calibri"/>
          <w:b/>
          <w:i w:val="0"/>
          <w:smallCaps/>
          <w:color w:val="B88900"/>
          <w:sz w:val="19"/>
        </w:rPr>
        <w:t>SAY</w:t>
      </w:r>
    </w:p>
    <w:p>
      <w:pPr>
        <w:keepLines/>
        <w:spacing w:before="0" w:after="120" w:line="324" w:lineRule="auto"/>
        <w:ind w:left="432"/>
      </w:pPr>
      <w:r>
        <w:rPr>
          <w:rFonts w:ascii="Calibri" w:hAnsi="Calibri"/>
          <w:b w:val="0"/>
          <w:i w:val="0"/>
          <w:color w:val="1A2A55"/>
          <w:sz w:val="23"/>
        </w:rPr>
        <w:t>Here is the underlying financial model. The key drivers are five numbers: buyer account count, seller account count, blended ACV per side, AI attach rate, and gross margin. Downside bracket assumes 40% of base-case buyer acquisition and 50% of base-case seller acquisition — gets us to $12M combined ARR at Year 3, still 94%+ gross margin. Upside bracket assumes Scale and Enterprise upsell at the rate the design-partner cohort has historically demonstrated in comparable categories — gets us to $50M+ combined ARR at Year 3. The spreadsheet is an appendix artifact; I’m happy to walk through the assumptions line by line.</w:t>
      </w:r>
    </w:p>
    <w:p>
      <w:pPr>
        <w:spacing w:before="40" w:after="200" w:line="300" w:lineRule="auto"/>
      </w:pPr>
      <w:r>
        <w:rPr>
          <w:rFonts w:ascii="Calibri" w:hAnsi="Calibri"/>
          <w:b/>
          <w:i w:val="0"/>
          <w:smallCaps/>
          <w:color w:val="1B5E20"/>
          <w:sz w:val="19"/>
        </w:rPr>
        <w:t xml:space="preserve">COACH  </w:t>
      </w:r>
      <w:r>
        <w:rPr>
          <w:rFonts w:ascii="Calibri" w:hAnsi="Calibri"/>
          <w:b w:val="0"/>
          <w:i/>
          <w:color w:val="5A6A7A"/>
          <w:sz w:val="20"/>
        </w:rPr>
        <w:t>Do not attempt to memorize the model. When an investor drills in, open it and walk them through. Admit a number you’re uncertain about — do not guess.</w:t>
      </w:r>
    </w:p>
    <w:p>
      <w:r>
        <w:br w:type="page"/>
      </w:r>
    </w:p>
    <w:p>
      <w:pPr>
        <w:spacing w:before="360" w:after="160" w:line="276" w:lineRule="auto"/>
        <w:pBdr>
          <w:bottom w:val="single" w:sz="8" w:space="1" w:color="0A1432"/>
        </w:pBdr>
      </w:pPr>
      <w:r>
        <w:rPr>
          <w:rFonts w:ascii="Calibri" w:hAnsi="Calibri"/>
          <w:b/>
          <w:i w:val="0"/>
          <w:color w:val="0A1432"/>
          <w:sz w:val="40"/>
        </w:rPr>
        <w:t>Close — the final 60 seconds</w:t>
      </w:r>
    </w:p>
    <w:p>
      <w:pPr>
        <w:spacing w:before="0" w:after="160" w:line="300" w:lineRule="auto"/>
      </w:pPr>
      <w:r>
        <w:rPr>
          <w:rFonts w:ascii="Calibri" w:hAnsi="Calibri"/>
          <w:b w:val="0"/>
          <w:i w:val="0"/>
          <w:color w:val="161E2F"/>
          <w:sz w:val="22"/>
        </w:rPr>
        <w:t>After Q&amp;A ends and the investor signals they have what they need, close with a single deliberate line. Do not restate the pitch. The restatement signals insecurity. Instead, reassert category ownership and offer the next step.</w:t>
      </w:r>
    </w:p>
    <w:p>
      <w:pPr>
        <w:spacing w:before="40" w:after="200" w:line="300" w:lineRule="auto"/>
        <w:ind w:left="432"/>
      </w:pPr>
      <w:r>
        <w:rPr>
          <w:rFonts w:ascii="Calibri" w:hAnsi="Calibri"/>
          <w:b/>
          <w:i w:val="0"/>
          <w:smallCaps/>
          <w:color w:val="B88900"/>
          <w:sz w:val="19"/>
        </w:rPr>
        <w:t xml:space="preserve">SAY  </w:t>
      </w:r>
      <w:r>
        <w:rPr>
          <w:rFonts w:ascii="Calibri" w:hAnsi="Calibri"/>
          <w:b w:val="0"/>
          <w:i/>
          <w:color w:val="1A2A55"/>
          <w:sz w:val="22"/>
        </w:rPr>
        <w:t>“The Software Evaluation Platform category is going to exist. Today it does not have a name or a vendor. Sourcera is both. Thank you for the time — next step is a follow-up on [DATE] with the financial model, the design-partner list, and the technical architecture deep dive. I’ll send a calendar hold this afternoon.”</w:t>
      </w:r>
    </w:p>
    <w:p>
      <w:pPr>
        <w:spacing w:before="0" w:after="320" w:line="300" w:lineRule="auto"/>
      </w:pPr>
      <w:r>
        <w:rPr>
          <w:rFonts w:ascii="Calibri" w:hAnsi="Calibri"/>
          <w:b w:val="0"/>
          <w:i/>
          <w:color w:val="5A6A7A"/>
          <w:sz w:val="20"/>
        </w:rPr>
        <w:t>Then stop talking. Shake hands. Leave the deck open on Slide 1 if possible — the tagline is the last thing the room sees.</w:t>
      </w:r>
    </w:p>
    <w:p>
      <w:r>
        <w:br w:type="page"/>
      </w:r>
    </w:p>
    <w:p>
      <w:pPr>
        <w:spacing w:before="360" w:after="160" w:line="276" w:lineRule="auto"/>
        <w:pBdr>
          <w:bottom w:val="single" w:sz="8" w:space="1" w:color="0A1432"/>
        </w:pBdr>
      </w:pPr>
      <w:r>
        <w:rPr>
          <w:rFonts w:ascii="Calibri" w:hAnsi="Calibri"/>
          <w:b/>
          <w:i w:val="0"/>
          <w:color w:val="0A1432"/>
          <w:sz w:val="40"/>
        </w:rPr>
        <w:t>Q&amp;A preparation</w:t>
      </w:r>
    </w:p>
    <w:p>
      <w:pPr>
        <w:spacing w:before="0" w:after="200" w:line="300" w:lineRule="auto"/>
      </w:pPr>
      <w:r>
        <w:rPr>
          <w:rFonts w:ascii="Calibri" w:hAnsi="Calibri"/>
          <w:b w:val="0"/>
          <w:i w:val="0"/>
          <w:color w:val="161E2F"/>
          <w:sz w:val="22"/>
        </w:rPr>
        <w:t>These are the ten questions most likely to be asked by institutional investors at seed. Each answer is written to be delivered in under 45 seconds. Anchor every answer to a slide number — investors remember what they saw, and returning to the visual shortens the distance between question and confidence.</w:t>
      </w:r>
    </w:p>
    <w:p>
      <w:pPr>
        <w:keepNext/>
        <w:spacing w:before="160" w:after="40" w:line="300" w:lineRule="auto"/>
      </w:pPr>
      <w:r>
        <w:rPr>
          <w:rFonts w:ascii="Calibri" w:hAnsi="Calibri"/>
          <w:b/>
          <w:i w:val="0"/>
          <w:smallCaps/>
          <w:color w:val="0A1432"/>
          <w:sz w:val="20"/>
        </w:rPr>
        <w:t xml:space="preserve">Q  </w:t>
      </w:r>
      <w:r>
        <w:rPr>
          <w:rFonts w:ascii="Calibri" w:hAnsi="Calibri"/>
          <w:b/>
          <w:i w:val="0"/>
          <w:color w:val="161E2F"/>
          <w:sz w:val="22"/>
        </w:rPr>
        <w:t>Why hasn’t Coupa or Ivalua built this already?</w:t>
      </w:r>
    </w:p>
    <w:p>
      <w:pPr>
        <w:keepNext/>
        <w:keepLines/>
        <w:spacing w:before="0" w:after="40" w:line="324" w:lineRule="auto"/>
        <w:ind w:left="432"/>
      </w:pPr>
      <w:r>
        <w:rPr>
          <w:rFonts w:ascii="Calibri" w:hAnsi="Calibri"/>
          <w:b/>
          <w:i w:val="0"/>
          <w:smallCaps/>
          <w:color w:val="B88900"/>
          <w:sz w:val="20"/>
        </w:rPr>
        <w:t xml:space="preserve">A  </w:t>
      </w:r>
      <w:r>
        <w:rPr>
          <w:rFonts w:ascii="Calibri" w:hAnsi="Calibri"/>
          <w:b w:val="0"/>
          <w:i/>
          <w:color w:val="1A2A55"/>
          <w:sz w:val="21"/>
        </w:rPr>
        <w:t>Because their business model is purchase-order approval and procure-to-pay transaction workflow — not pre-selection evaluation. Evaluation is upstream of their surface area. Integrating Sourcera via Phase 13 selection-report handoff is a natural exit path for us; competing with us requires them to ship an opinionated thirteen-phase pipeline plus a bid-response product for sellers plus a marketplace — which is three new businesses, not one.</w:t>
      </w:r>
    </w:p>
    <w:p>
      <w:pPr>
        <w:spacing w:before="0" w:after="120" w:line="300" w:lineRule="auto"/>
        <w:ind w:left="432"/>
      </w:pPr>
      <w:r>
        <w:rPr>
          <w:rFonts w:ascii="Calibri" w:hAnsi="Calibri"/>
          <w:b/>
          <w:i w:val="0"/>
          <w:smallCaps/>
          <w:color w:val="5A6A7A"/>
          <w:sz w:val="18"/>
        </w:rPr>
        <w:t xml:space="preserve">ANCHOR  </w:t>
      </w:r>
      <w:r>
        <w:rPr>
          <w:rFonts w:ascii="Calibri" w:hAnsi="Calibri"/>
          <w:b w:val="0"/>
          <w:i w:val="0"/>
          <w:color w:val="5A6A7A"/>
          <w:sz w:val="19"/>
        </w:rPr>
        <w:t>Slide 13 — empty upper-right quadrant.</w:t>
      </w:r>
    </w:p>
    <w:p>
      <w:pPr>
        <w:keepNext/>
        <w:spacing w:before="160" w:after="40" w:line="300" w:lineRule="auto"/>
      </w:pPr>
      <w:r>
        <w:rPr>
          <w:rFonts w:ascii="Calibri" w:hAnsi="Calibri"/>
          <w:b/>
          <w:i w:val="0"/>
          <w:smallCaps/>
          <w:color w:val="0A1432"/>
          <w:sz w:val="20"/>
        </w:rPr>
        <w:t xml:space="preserve">Q  </w:t>
      </w:r>
      <w:r>
        <w:rPr>
          <w:rFonts w:ascii="Calibri" w:hAnsi="Calibri"/>
          <w:b/>
          <w:i w:val="0"/>
          <w:color w:val="161E2F"/>
          <w:sz w:val="22"/>
        </w:rPr>
        <w:t>What’s the moat against an incumbent vertically integrating?</w:t>
      </w:r>
    </w:p>
    <w:p>
      <w:pPr>
        <w:keepNext/>
        <w:keepLines/>
        <w:spacing w:before="0" w:after="40" w:line="324" w:lineRule="auto"/>
        <w:ind w:left="432"/>
      </w:pPr>
      <w:r>
        <w:rPr>
          <w:rFonts w:ascii="Calibri" w:hAnsi="Calibri"/>
          <w:b/>
          <w:i w:val="0"/>
          <w:smallCaps/>
          <w:color w:val="B88900"/>
          <w:sz w:val="20"/>
        </w:rPr>
        <w:t xml:space="preserve">A  </w:t>
      </w:r>
      <w:r>
        <w:rPr>
          <w:rFonts w:ascii="Calibri" w:hAnsi="Calibri"/>
          <w:b w:val="0"/>
          <w:i/>
          <w:color w:val="1A2A55"/>
          <w:sz w:val="21"/>
        </w:rPr>
        <w:t>Four independent barriers compounding. The dual-console architecture at the database layer — a feature no competitor has shipped and cannot retrofit. The marketplace network effect — seller supply populates itself via buyer invite. Outcome-accounted AI pricing — 90%+ gross margin floor defended at the accounting layer. And forced-signup CAC mechanics. None of those are replicable in under 18 months. Which is exactly why we’re raising now.</w:t>
      </w:r>
    </w:p>
    <w:p>
      <w:pPr>
        <w:spacing w:before="0" w:after="120" w:line="300" w:lineRule="auto"/>
        <w:ind w:left="432"/>
      </w:pPr>
      <w:r>
        <w:rPr>
          <w:rFonts w:ascii="Calibri" w:hAnsi="Calibri"/>
          <w:b/>
          <w:i w:val="0"/>
          <w:smallCaps/>
          <w:color w:val="5A6A7A"/>
          <w:sz w:val="18"/>
        </w:rPr>
        <w:t xml:space="preserve">ANCHOR  </w:t>
      </w:r>
      <w:r>
        <w:rPr>
          <w:rFonts w:ascii="Calibri" w:hAnsi="Calibri"/>
          <w:b w:val="0"/>
          <w:i w:val="0"/>
          <w:color w:val="5A6A7A"/>
          <w:sz w:val="19"/>
        </w:rPr>
        <w:t>Slides 5, 8, 7, 9.</w:t>
      </w:r>
    </w:p>
    <w:p>
      <w:pPr>
        <w:keepNext/>
        <w:spacing w:before="160" w:after="40" w:line="300" w:lineRule="auto"/>
      </w:pPr>
      <w:r>
        <w:rPr>
          <w:rFonts w:ascii="Calibri" w:hAnsi="Calibri"/>
          <w:b/>
          <w:i w:val="0"/>
          <w:smallCaps/>
          <w:color w:val="0A1432"/>
          <w:sz w:val="20"/>
        </w:rPr>
        <w:t xml:space="preserve">Q  </w:t>
      </w:r>
      <w:r>
        <w:rPr>
          <w:rFonts w:ascii="Calibri" w:hAnsi="Calibri"/>
          <w:b/>
          <w:i w:val="0"/>
          <w:color w:val="161E2F"/>
          <w:sz w:val="22"/>
        </w:rPr>
        <w:t>How do you actually get to $3M ARR in 18 months?</w:t>
      </w:r>
    </w:p>
    <w:p>
      <w:pPr>
        <w:keepNext/>
        <w:keepLines/>
        <w:spacing w:before="0" w:after="40" w:line="324" w:lineRule="auto"/>
        <w:ind w:left="432"/>
      </w:pPr>
      <w:r>
        <w:rPr>
          <w:rFonts w:ascii="Calibri" w:hAnsi="Calibri"/>
          <w:b/>
          <w:i w:val="0"/>
          <w:smallCaps/>
          <w:color w:val="B88900"/>
          <w:sz w:val="20"/>
        </w:rPr>
        <w:t xml:space="preserve">A  </w:t>
      </w:r>
      <w:r>
        <w:rPr>
          <w:rFonts w:ascii="Calibri" w:hAnsi="Calibri"/>
          <w:b w:val="0"/>
          <w:i/>
          <w:color w:val="1A2A55"/>
          <w:sz w:val="21"/>
        </w:rPr>
        <w:t>Conservative mix. 250 Buyer Starter at $299 monthly = $900K. 100 Buyer Growth at $799 = $960K. 50 Buyer Scale at $1,999 = $1.2M. 500 Seller Starter at $149 = $900K. That’s $4M platform run-rate before AI consumption, which at a 1.5× attach adds ~60%. Platform-only cut is well above $3M. And the mechanics — design-partner cohort, forced signup, M17 buyer-funded trials — are engineered to deliver this without outbound-sales burn.</w:t>
      </w:r>
    </w:p>
    <w:p>
      <w:pPr>
        <w:spacing w:before="0" w:after="120" w:line="300" w:lineRule="auto"/>
        <w:ind w:left="432"/>
      </w:pPr>
      <w:r>
        <w:rPr>
          <w:rFonts w:ascii="Calibri" w:hAnsi="Calibri"/>
          <w:b/>
          <w:i w:val="0"/>
          <w:smallCaps/>
          <w:color w:val="5A6A7A"/>
          <w:sz w:val="18"/>
        </w:rPr>
        <w:t xml:space="preserve">ANCHOR  </w:t>
      </w:r>
      <w:r>
        <w:rPr>
          <w:rFonts w:ascii="Calibri" w:hAnsi="Calibri"/>
          <w:b w:val="0"/>
          <w:i w:val="0"/>
          <w:color w:val="5A6A7A"/>
          <w:sz w:val="19"/>
        </w:rPr>
        <w:t>Slide 11 — base-case assumptions.</w:t>
      </w:r>
    </w:p>
    <w:p>
      <w:pPr>
        <w:keepNext/>
        <w:spacing w:before="160" w:after="40" w:line="300" w:lineRule="auto"/>
      </w:pPr>
      <w:r>
        <w:rPr>
          <w:rFonts w:ascii="Calibri" w:hAnsi="Calibri"/>
          <w:b/>
          <w:i w:val="0"/>
          <w:smallCaps/>
          <w:color w:val="0A1432"/>
          <w:sz w:val="20"/>
        </w:rPr>
        <w:t xml:space="preserve">Q  </w:t>
      </w:r>
      <w:r>
        <w:rPr>
          <w:rFonts w:ascii="Calibri" w:hAnsi="Calibri"/>
          <w:b/>
          <w:i w:val="0"/>
          <w:color w:val="161E2F"/>
          <w:sz w:val="22"/>
        </w:rPr>
        <w:t>Why 90% gross margin on AI? Isn’t AI a commodity cost?</w:t>
      </w:r>
    </w:p>
    <w:p>
      <w:pPr>
        <w:keepNext/>
        <w:keepLines/>
        <w:spacing w:before="0" w:after="40" w:line="324" w:lineRule="auto"/>
        <w:ind w:left="432"/>
      </w:pPr>
      <w:r>
        <w:rPr>
          <w:rFonts w:ascii="Calibri" w:hAnsi="Calibri"/>
          <w:b/>
          <w:i w:val="0"/>
          <w:smallCaps/>
          <w:color w:val="B88900"/>
          <w:sz w:val="20"/>
        </w:rPr>
        <w:t xml:space="preserve">A  </w:t>
      </w:r>
      <w:r>
        <w:rPr>
          <w:rFonts w:ascii="Calibri" w:hAnsi="Calibri"/>
          <w:b w:val="0"/>
          <w:i/>
          <w:color w:val="1A2A55"/>
          <w:sz w:val="21"/>
        </w:rPr>
        <w:t>Because accepted AI operations are priced at 10× our Anthropic cost, and rejected operations at 1.05×. The user controls the accept/reject signal. At any reject ratio below 50%, blended AI gross margin stays above 90%. The pricing is not “margin on AI” — it is margin on outcome, with AI cost as a pass-through floor.</w:t>
      </w:r>
    </w:p>
    <w:p>
      <w:pPr>
        <w:spacing w:before="0" w:after="120" w:line="300" w:lineRule="auto"/>
        <w:ind w:left="432"/>
      </w:pPr>
      <w:r>
        <w:rPr>
          <w:rFonts w:ascii="Calibri" w:hAnsi="Calibri"/>
          <w:b/>
          <w:i w:val="0"/>
          <w:smallCaps/>
          <w:color w:val="5A6A7A"/>
          <w:sz w:val="18"/>
        </w:rPr>
        <w:t xml:space="preserve">ANCHOR  </w:t>
      </w:r>
      <w:r>
        <w:rPr>
          <w:rFonts w:ascii="Calibri" w:hAnsi="Calibri"/>
          <w:b w:val="0"/>
          <w:i w:val="0"/>
          <w:color w:val="5A6A7A"/>
          <w:sz w:val="19"/>
        </w:rPr>
        <w:t>Slide 7 — outcome-accounted layer.</w:t>
      </w:r>
    </w:p>
    <w:p>
      <w:pPr>
        <w:keepNext/>
        <w:spacing w:before="160" w:after="40" w:line="300" w:lineRule="auto"/>
      </w:pPr>
      <w:r>
        <w:rPr>
          <w:rFonts w:ascii="Calibri" w:hAnsi="Calibri"/>
          <w:b/>
          <w:i w:val="0"/>
          <w:smallCaps/>
          <w:color w:val="0A1432"/>
          <w:sz w:val="20"/>
        </w:rPr>
        <w:t xml:space="preserve">Q  </w:t>
      </w:r>
      <w:r>
        <w:rPr>
          <w:rFonts w:ascii="Calibri" w:hAnsi="Calibri"/>
          <w:b/>
          <w:i w:val="0"/>
          <w:color w:val="161E2F"/>
          <w:sz w:val="22"/>
        </w:rPr>
        <w:t>Why solo founder?</w:t>
      </w:r>
    </w:p>
    <w:p>
      <w:pPr>
        <w:keepNext/>
        <w:keepLines/>
        <w:spacing w:before="0" w:after="40" w:line="324" w:lineRule="auto"/>
        <w:ind w:left="432"/>
      </w:pPr>
      <w:r>
        <w:rPr>
          <w:rFonts w:ascii="Calibri" w:hAnsi="Calibri"/>
          <w:b/>
          <w:i w:val="0"/>
          <w:smallCaps/>
          <w:color w:val="B88900"/>
          <w:sz w:val="20"/>
        </w:rPr>
        <w:t xml:space="preserve">A  </w:t>
      </w:r>
      <w:r>
        <w:rPr>
          <w:rFonts w:ascii="Calibri" w:hAnsi="Calibri"/>
          <w:b w:val="0"/>
          <w:i/>
          <w:color w:val="1A2A55"/>
          <w:sz w:val="21"/>
        </w:rPr>
        <w:t>Because the spec is internally consistent by construction. A co-founder typically reconciles disagreements after the code is written. Solo-founding means every trade-off was reconciled before the code existed — six hundred pages of Master Spec, two pricing strategies, UX, GTM, all coherent. That is not a capability you hire for at seed. That is a capability you prove before the round. I hire for execution and speed, not for judgment trade-offs.</w:t>
      </w:r>
    </w:p>
    <w:p>
      <w:pPr>
        <w:spacing w:before="0" w:after="120" w:line="300" w:lineRule="auto"/>
        <w:ind w:left="432"/>
      </w:pPr>
      <w:r>
        <w:rPr>
          <w:rFonts w:ascii="Calibri" w:hAnsi="Calibri"/>
          <w:b/>
          <w:i w:val="0"/>
          <w:smallCaps/>
          <w:color w:val="5A6A7A"/>
          <w:sz w:val="18"/>
        </w:rPr>
        <w:t xml:space="preserve">ANCHOR  </w:t>
      </w:r>
      <w:r>
        <w:rPr>
          <w:rFonts w:ascii="Calibri" w:hAnsi="Calibri"/>
          <w:b w:val="0"/>
          <w:i w:val="0"/>
          <w:color w:val="5A6A7A"/>
          <w:sz w:val="19"/>
        </w:rPr>
        <w:t>Slide 17.</w:t>
      </w:r>
    </w:p>
    <w:p>
      <w:pPr>
        <w:keepNext/>
        <w:spacing w:before="160" w:after="40" w:line="300" w:lineRule="auto"/>
      </w:pPr>
      <w:r>
        <w:rPr>
          <w:rFonts w:ascii="Calibri" w:hAnsi="Calibri"/>
          <w:b/>
          <w:i w:val="0"/>
          <w:smallCaps/>
          <w:color w:val="0A1432"/>
          <w:sz w:val="20"/>
        </w:rPr>
        <w:t xml:space="preserve">Q  </w:t>
      </w:r>
      <w:r>
        <w:rPr>
          <w:rFonts w:ascii="Calibri" w:hAnsi="Calibri"/>
          <w:b/>
          <w:i w:val="0"/>
          <w:color w:val="161E2F"/>
          <w:sz w:val="22"/>
        </w:rPr>
        <w:t>What kills this company?</w:t>
      </w:r>
    </w:p>
    <w:p>
      <w:pPr>
        <w:keepNext/>
        <w:keepLines/>
        <w:spacing w:before="0" w:after="40" w:line="324" w:lineRule="auto"/>
        <w:ind w:left="432"/>
      </w:pPr>
      <w:r>
        <w:rPr>
          <w:rFonts w:ascii="Calibri" w:hAnsi="Calibri"/>
          <w:b/>
          <w:i w:val="0"/>
          <w:smallCaps/>
          <w:color w:val="B88900"/>
          <w:sz w:val="20"/>
        </w:rPr>
        <w:t xml:space="preserve">A  </w:t>
      </w:r>
      <w:r>
        <w:rPr>
          <w:rFonts w:ascii="Calibri" w:hAnsi="Calibri"/>
          <w:b w:val="0"/>
          <w:i/>
          <w:color w:val="1A2A55"/>
          <w:sz w:val="21"/>
        </w:rPr>
        <w:t>A Coupa acquisition of a Responsive-like product plus 18 months of integration work. We need to be at $3M+ ARR and defensive flywheel by the 18-month mark. Hence the target, hence the round now, hence the lean hiring plan. If we hit $3M ARR in 18 months with the marketplace compounding, we’re the acquirer-of-choice candidate or the category-defining standalone. If we miss it, we’re at risk of being leapfrogged.</w:t>
      </w:r>
    </w:p>
    <w:p>
      <w:pPr>
        <w:spacing w:before="0" w:after="120" w:line="300" w:lineRule="auto"/>
        <w:ind w:left="432"/>
      </w:pPr>
      <w:r>
        <w:rPr>
          <w:rFonts w:ascii="Calibri" w:hAnsi="Calibri"/>
          <w:b/>
          <w:i w:val="0"/>
          <w:smallCaps/>
          <w:color w:val="5A6A7A"/>
          <w:sz w:val="18"/>
        </w:rPr>
        <w:t xml:space="preserve">ANCHOR  </w:t>
      </w:r>
      <w:r>
        <w:rPr>
          <w:rFonts w:ascii="Calibri" w:hAnsi="Calibri"/>
          <w:b w:val="0"/>
          <w:i w:val="0"/>
          <w:color w:val="5A6A7A"/>
          <w:sz w:val="19"/>
        </w:rPr>
        <w:t>Slide 3 — closing window.</w:t>
      </w:r>
    </w:p>
    <w:p>
      <w:pPr>
        <w:keepNext/>
        <w:spacing w:before="160" w:after="40" w:line="300" w:lineRule="auto"/>
      </w:pPr>
      <w:r>
        <w:rPr>
          <w:rFonts w:ascii="Calibri" w:hAnsi="Calibri"/>
          <w:b/>
          <w:i w:val="0"/>
          <w:smallCaps/>
          <w:color w:val="0A1432"/>
          <w:sz w:val="20"/>
        </w:rPr>
        <w:t xml:space="preserve">Q  </w:t>
      </w:r>
      <w:r>
        <w:rPr>
          <w:rFonts w:ascii="Calibri" w:hAnsi="Calibri"/>
          <w:b/>
          <w:i w:val="0"/>
          <w:color w:val="161E2F"/>
          <w:sz w:val="22"/>
        </w:rPr>
        <w:t>How do you handle a buyer who runs evaluations on Excel today — what’s the wedge?</w:t>
      </w:r>
    </w:p>
    <w:p>
      <w:pPr>
        <w:keepNext/>
        <w:keepLines/>
        <w:spacing w:before="0" w:after="40" w:line="324" w:lineRule="auto"/>
        <w:ind w:left="432"/>
      </w:pPr>
      <w:r>
        <w:rPr>
          <w:rFonts w:ascii="Calibri" w:hAnsi="Calibri"/>
          <w:b/>
          <w:i w:val="0"/>
          <w:smallCaps/>
          <w:color w:val="B88900"/>
          <w:sz w:val="20"/>
        </w:rPr>
        <w:t xml:space="preserve">A  </w:t>
      </w:r>
      <w:r>
        <w:rPr>
          <w:rFonts w:ascii="Calibri" w:hAnsi="Calibri"/>
          <w:b w:val="0"/>
          <w:i/>
          <w:color w:val="1A2A55"/>
          <w:sz w:val="21"/>
        </w:rPr>
        <w:t>Design-partner cohort. Ten slots, 90-day pilot on the buyer’s next software evaluation, full migration support, founder-level partnership, locked-in pricing, feature-roadmap co-authorship. We close three of the ten within 60 days of first commercial conversation. Wedge metric: audit-ready Selection Record on Day 1 of Phase 13 — something the Excel workflow cannot produce.</w:t>
      </w:r>
    </w:p>
    <w:p>
      <w:pPr>
        <w:spacing w:before="0" w:after="120" w:line="300" w:lineRule="auto"/>
        <w:ind w:left="432"/>
      </w:pPr>
      <w:r>
        <w:rPr>
          <w:rFonts w:ascii="Calibri" w:hAnsi="Calibri"/>
          <w:b/>
          <w:i w:val="0"/>
          <w:smallCaps/>
          <w:color w:val="5A6A7A"/>
          <w:sz w:val="18"/>
        </w:rPr>
        <w:t xml:space="preserve">ANCHOR  </w:t>
      </w:r>
      <w:r>
        <w:rPr>
          <w:rFonts w:ascii="Calibri" w:hAnsi="Calibri"/>
          <w:b w:val="0"/>
          <w:i w:val="0"/>
          <w:color w:val="5A6A7A"/>
          <w:sz w:val="19"/>
        </w:rPr>
        <w:t>Slide 18 — design partner track.</w:t>
      </w:r>
    </w:p>
    <w:p>
      <w:pPr>
        <w:keepNext/>
        <w:spacing w:before="160" w:after="40" w:line="300" w:lineRule="auto"/>
      </w:pPr>
      <w:r>
        <w:rPr>
          <w:rFonts w:ascii="Calibri" w:hAnsi="Calibri"/>
          <w:b/>
          <w:i w:val="0"/>
          <w:smallCaps/>
          <w:color w:val="0A1432"/>
          <w:sz w:val="20"/>
        </w:rPr>
        <w:t xml:space="preserve">Q  </w:t>
      </w:r>
      <w:r>
        <w:rPr>
          <w:rFonts w:ascii="Calibri" w:hAnsi="Calibri"/>
          <w:b/>
          <w:i w:val="0"/>
          <w:color w:val="161E2F"/>
          <w:sz w:val="22"/>
        </w:rPr>
        <w:t>What’s the seller-side conversion rate from forced signup to paid?</w:t>
      </w:r>
    </w:p>
    <w:p>
      <w:pPr>
        <w:keepNext/>
        <w:keepLines/>
        <w:spacing w:before="0" w:after="40" w:line="324" w:lineRule="auto"/>
        <w:ind w:left="432"/>
      </w:pPr>
      <w:r>
        <w:rPr>
          <w:rFonts w:ascii="Calibri" w:hAnsi="Calibri"/>
          <w:b/>
          <w:i w:val="0"/>
          <w:smallCaps/>
          <w:color w:val="B88900"/>
          <w:sz w:val="20"/>
        </w:rPr>
        <w:t xml:space="preserve">A  </w:t>
      </w:r>
      <w:r>
        <w:rPr>
          <w:rFonts w:ascii="Calibri" w:hAnsi="Calibri"/>
          <w:b w:val="0"/>
          <w:i/>
          <w:color w:val="1A2A55"/>
          <w:sz w:val="21"/>
        </w:rPr>
        <w:t>Free seller signup is designed as a permanent funnel, not a trial. The conversion is to Starter at $149/month, triggered by hitting the Free ceiling — one active bid, $5 AI budget, no CRM sync. Our conversion target at the design-partner cohort is 8% Free-to-Starter within 60 days of first invite, gated by Hero Moment completion. M17 Buyer-Funded Pro Trial Seats bypass the ceiling at the highest-intent moment — that mechanic is projected to add 4–6 points on top of organic.</w:t>
      </w:r>
    </w:p>
    <w:p>
      <w:pPr>
        <w:spacing w:before="0" w:after="120" w:line="300" w:lineRule="auto"/>
        <w:ind w:left="432"/>
      </w:pPr>
      <w:r>
        <w:rPr>
          <w:rFonts w:ascii="Calibri" w:hAnsi="Calibri"/>
          <w:b/>
          <w:i w:val="0"/>
          <w:smallCaps/>
          <w:color w:val="5A6A7A"/>
          <w:sz w:val="18"/>
        </w:rPr>
        <w:t xml:space="preserve">ANCHOR  </w:t>
      </w:r>
      <w:r>
        <w:rPr>
          <w:rFonts w:ascii="Calibri" w:hAnsi="Calibri"/>
          <w:b w:val="0"/>
          <w:i w:val="0"/>
          <w:color w:val="5A6A7A"/>
          <w:sz w:val="19"/>
        </w:rPr>
        <w:t>Slides 9, 15.</w:t>
      </w:r>
    </w:p>
    <w:p>
      <w:pPr>
        <w:keepNext/>
        <w:spacing w:before="160" w:after="40" w:line="300" w:lineRule="auto"/>
      </w:pPr>
      <w:r>
        <w:rPr>
          <w:rFonts w:ascii="Calibri" w:hAnsi="Calibri"/>
          <w:b/>
          <w:i w:val="0"/>
          <w:smallCaps/>
          <w:color w:val="0A1432"/>
          <w:sz w:val="20"/>
        </w:rPr>
        <w:t xml:space="preserve">Q  </w:t>
      </w:r>
      <w:r>
        <w:rPr>
          <w:rFonts w:ascii="Calibri" w:hAnsi="Calibri"/>
          <w:b/>
          <w:i w:val="0"/>
          <w:color w:val="161E2F"/>
          <w:sz w:val="22"/>
        </w:rPr>
        <w:t>What if foundation-model prices collapse or Anthropic raises rates?</w:t>
      </w:r>
    </w:p>
    <w:p>
      <w:pPr>
        <w:keepNext/>
        <w:keepLines/>
        <w:spacing w:before="0" w:after="40" w:line="324" w:lineRule="auto"/>
        <w:ind w:left="432"/>
      </w:pPr>
      <w:r>
        <w:rPr>
          <w:rFonts w:ascii="Calibri" w:hAnsi="Calibri"/>
          <w:b/>
          <w:i w:val="0"/>
          <w:smallCaps/>
          <w:color w:val="B88900"/>
          <w:sz w:val="20"/>
        </w:rPr>
        <w:t xml:space="preserve">A  </w:t>
      </w:r>
      <w:r>
        <w:rPr>
          <w:rFonts w:ascii="Calibri" w:hAnsi="Calibri"/>
          <w:b w:val="0"/>
          <w:i/>
          <w:color w:val="1A2A55"/>
          <w:sz w:val="21"/>
        </w:rPr>
        <w:t>Margin is protected either way. If Anthropic prices fall, our cost_base falls; user-facing prices stay flat on accept/reject ratios, margin widens. If Anthropic raises rates, the accept-side multiplier absorbs the increase linearly because it is expressed as a multiple of cost_base, not an absolute price. The worst case is margin compression, not margin collapse. Multi-model routing — Opus, Sonnet, Haiku — also hedges by capability.</w:t>
      </w:r>
    </w:p>
    <w:p>
      <w:pPr>
        <w:spacing w:before="0" w:after="120" w:line="300" w:lineRule="auto"/>
        <w:ind w:left="432"/>
      </w:pPr>
      <w:r>
        <w:rPr>
          <w:rFonts w:ascii="Calibri" w:hAnsi="Calibri"/>
          <w:b/>
          <w:i w:val="0"/>
          <w:smallCaps/>
          <w:color w:val="5A6A7A"/>
          <w:sz w:val="18"/>
        </w:rPr>
        <w:t xml:space="preserve">ANCHOR  </w:t>
      </w:r>
      <w:r>
        <w:rPr>
          <w:rFonts w:ascii="Calibri" w:hAnsi="Calibri"/>
          <w:b w:val="0"/>
          <w:i w:val="0"/>
          <w:color w:val="5A6A7A"/>
          <w:sz w:val="19"/>
        </w:rPr>
        <w:t>Slide 7 — tiered capability pricing.</w:t>
      </w:r>
    </w:p>
    <w:p>
      <w:pPr>
        <w:keepNext/>
        <w:spacing w:before="160" w:after="40" w:line="300" w:lineRule="auto"/>
      </w:pPr>
      <w:r>
        <w:rPr>
          <w:rFonts w:ascii="Calibri" w:hAnsi="Calibri"/>
          <w:b/>
          <w:i w:val="0"/>
          <w:smallCaps/>
          <w:color w:val="0A1432"/>
          <w:sz w:val="20"/>
        </w:rPr>
        <w:t xml:space="preserve">Q  </w:t>
      </w:r>
      <w:r>
        <w:rPr>
          <w:rFonts w:ascii="Calibri" w:hAnsi="Calibri"/>
          <w:b/>
          <w:i w:val="0"/>
          <w:color w:val="161E2F"/>
          <w:sz w:val="22"/>
        </w:rPr>
        <w:t>Who’s your first customer, and when?</w:t>
      </w:r>
    </w:p>
    <w:p>
      <w:pPr>
        <w:keepNext/>
        <w:keepLines/>
        <w:spacing w:before="0" w:after="40" w:line="324" w:lineRule="auto"/>
        <w:ind w:left="432"/>
      </w:pPr>
      <w:r>
        <w:rPr>
          <w:rFonts w:ascii="Calibri" w:hAnsi="Calibri"/>
          <w:b/>
          <w:i w:val="0"/>
          <w:smallCaps/>
          <w:color w:val="B88900"/>
          <w:sz w:val="20"/>
        </w:rPr>
        <w:t xml:space="preserve">A  </w:t>
      </w:r>
      <w:r>
        <w:rPr>
          <w:rFonts w:ascii="Calibri" w:hAnsi="Calibri"/>
          <w:b w:val="0"/>
          <w:i/>
          <w:color w:val="1A2A55"/>
          <w:sz w:val="21"/>
        </w:rPr>
        <w:t>The design-partner cohort is intentionally not first-come-first-served. We’re targeting ten buyers across three ICP segments: mid-market B2B SaaS in the $50M–$500M ARR band, regulated-industry procurement teams (financial services, healthcare, public sector), and AI-native companies whose procurement teams are evaluating AI vendors on a weekly cadence. First signed design partner: week 6 post-funding. First close: week 12.</w:t>
      </w:r>
    </w:p>
    <w:p>
      <w:pPr>
        <w:spacing w:before="0" w:after="120" w:line="300" w:lineRule="auto"/>
        <w:ind w:left="432"/>
      </w:pPr>
      <w:r>
        <w:rPr>
          <w:rFonts w:ascii="Calibri" w:hAnsi="Calibri"/>
          <w:b/>
          <w:i w:val="0"/>
          <w:smallCaps/>
          <w:color w:val="5A6A7A"/>
          <w:sz w:val="18"/>
        </w:rPr>
        <w:t xml:space="preserve">ANCHOR  </w:t>
      </w:r>
      <w:r>
        <w:rPr>
          <w:rFonts w:ascii="Calibri" w:hAnsi="Calibri"/>
          <w:b w:val="0"/>
          <w:i w:val="0"/>
          <w:color w:val="5A6A7A"/>
          <w:sz w:val="19"/>
        </w:rPr>
        <w:t>Slide 18 — enterprise track, plus Slide 16 traction framing.</w:t>
      </w:r>
    </w:p>
    <w:p>
      <w:r>
        <w:br w:type="page"/>
      </w:r>
    </w:p>
    <w:p>
      <w:pPr>
        <w:spacing w:before="360" w:after="160" w:line="276" w:lineRule="auto"/>
        <w:pBdr>
          <w:bottom w:val="single" w:sz="8" w:space="1" w:color="0A1432"/>
        </w:pBdr>
      </w:pPr>
      <w:r>
        <w:rPr>
          <w:rFonts w:ascii="Calibri" w:hAnsi="Calibri"/>
          <w:b/>
          <w:i w:val="0"/>
          <w:color w:val="0A1432"/>
          <w:sz w:val="40"/>
        </w:rPr>
        <w:t>Investor-type adaptations</w:t>
      </w:r>
    </w:p>
    <w:p>
      <w:pPr>
        <w:spacing w:before="0" w:after="120" w:line="300" w:lineRule="auto"/>
      </w:pPr>
      <w:r>
        <w:rPr>
          <w:rFonts w:ascii="Calibri" w:hAnsi="Calibri"/>
          <w:b w:val="0"/>
          <w:i w:val="0"/>
          <w:color w:val="161E2F"/>
          <w:sz w:val="22"/>
        </w:rPr>
        <w:t>Institutional lead. Emphasize Slides 5 (architectural moat), 11 (margin shape), 12 (bottoms-up TAM), 14 (flywheel). Expect drill-downs on gross margin math and CAC payback. Have the unit economics spreadsheet open in an adjacent tab.</w:t>
      </w:r>
    </w:p>
    <w:p>
      <w:pPr>
        <w:spacing w:before="0" w:after="120" w:line="300" w:lineRule="auto"/>
      </w:pPr>
      <w:r>
        <w:rPr>
          <w:rFonts w:ascii="Calibri" w:hAnsi="Calibri"/>
          <w:b w:val="0"/>
          <w:i w:val="0"/>
          <w:color w:val="161E2F"/>
          <w:sz w:val="22"/>
        </w:rPr>
        <w:t>Strategic / corporate investor. Emphasize Slides 6 (13-phase pipeline), 8 (Marketplace), 13 (competitive quadrant). Expect drill-downs on integration surface area — Phase 13 handoff to Jira, Linear, Salesforce, Coupa, Ivalua. Have the integration partner list ready.</w:t>
      </w:r>
    </w:p>
    <w:p>
      <w:pPr>
        <w:spacing w:before="0" w:after="120" w:line="300" w:lineRule="auto"/>
      </w:pPr>
      <w:r>
        <w:rPr>
          <w:rFonts w:ascii="Calibri" w:hAnsi="Calibri"/>
          <w:b w:val="0"/>
          <w:i w:val="0"/>
          <w:color w:val="161E2F"/>
          <w:sz w:val="22"/>
        </w:rPr>
        <w:t>Angel / operator. Emphasize Slides 2 (problem lived experience), 9 (Hero Moment), 17 (solo-founder thesis). Expect questions about the founder’s prior experience and the spec-first approach. Be prepared to share one or two specific examples of cross-document reconciliation from the Master Spec.</w:t>
      </w:r>
    </w:p>
    <w:p>
      <w:pPr>
        <w:spacing w:before="0" w:after="240" w:line="300" w:lineRule="auto"/>
      </w:pPr>
      <w:r>
        <w:rPr>
          <w:rFonts w:ascii="Calibri" w:hAnsi="Calibri"/>
          <w:b w:val="0"/>
          <w:i w:val="0"/>
          <w:color w:val="161E2F"/>
          <w:sz w:val="22"/>
        </w:rPr>
        <w:t>Skeptical room (second or third pitch to same fund, partner meeting, institutional DD). Shorten the talk track by 30% by trimming Slides 3, 6, 15. Never trim 5, 7, 11, 14, 18. Leave more time for Q&amp;A — at the DD stage, the questions are the pitch.</w:t>
      </w:r>
    </w:p>
    <w:p>
      <w:r>
        <w:br w:type="page"/>
      </w:r>
    </w:p>
    <w:p>
      <w:pPr>
        <w:spacing w:before="360" w:after="160" w:line="276" w:lineRule="auto"/>
        <w:pBdr>
          <w:bottom w:val="single" w:sz="8" w:space="1" w:color="0A1432"/>
        </w:pBdr>
      </w:pPr>
      <w:r>
        <w:rPr>
          <w:rFonts w:ascii="Calibri" w:hAnsi="Calibri"/>
          <w:b/>
          <w:i w:val="0"/>
          <w:color w:val="0A1432"/>
          <w:sz w:val="40"/>
        </w:rPr>
        <w:t>Delivery discipline</w:t>
      </w:r>
    </w:p>
    <w:p>
      <w:pPr>
        <w:spacing w:before="280" w:after="120" w:line="276" w:lineRule="auto"/>
      </w:pPr>
      <w:r>
        <w:rPr>
          <w:rFonts w:ascii="Calibri" w:hAnsi="Calibri"/>
          <w:b/>
          <w:i w:val="0"/>
          <w:smallCaps/>
          <w:color w:val="161E2F"/>
          <w:sz w:val="28"/>
        </w:rPr>
        <w:t>Before the room</w:t>
      </w:r>
    </w:p>
    <w:p>
      <w:pPr>
        <w:spacing w:before="0" w:after="120" w:line="300" w:lineRule="auto"/>
      </w:pPr>
      <w:r>
        <w:rPr>
          <w:rFonts w:ascii="Calibri" w:hAnsi="Calibri"/>
          <w:b w:val="0"/>
          <w:i w:val="0"/>
          <w:color w:val="161E2F"/>
          <w:sz w:val="22"/>
        </w:rPr>
        <w:t>Rehearse three full passes out loud at 150 words per minute. Time each pass. The third pass should land within 30 seconds of 15:00. If any pass exceeds 16:00, cut from Slide 15 (network effects detail) before cutting anywhere else — the flywheel claim lives on Slide 14, and Slide 15 is reinforcement. If any pass is under 14:00, slow down, do not add words.</w:t>
      </w:r>
    </w:p>
    <w:p>
      <w:pPr>
        <w:spacing w:before="0" w:after="120" w:line="300" w:lineRule="auto"/>
      </w:pPr>
      <w:r>
        <w:rPr>
          <w:rFonts w:ascii="Calibri" w:hAnsi="Calibri"/>
          <w:b w:val="0"/>
          <w:i w:val="0"/>
          <w:color w:val="161E2F"/>
          <w:sz w:val="22"/>
        </w:rPr>
        <w:t>Run the deck through at least one investor-caliber rehearsal audience — a former founder who raised at seed or Series A. The feedback to optimize for is not “did you like it” but “where did you lose the thread” and “what number did you not believe.”</w:t>
      </w:r>
    </w:p>
    <w:p>
      <w:pPr>
        <w:spacing w:before="0" w:after="200" w:line="300" w:lineRule="auto"/>
      </w:pPr>
      <w:r>
        <w:rPr>
          <w:rFonts w:ascii="Calibri" w:hAnsi="Calibri"/>
          <w:b w:val="0"/>
          <w:i w:val="0"/>
          <w:color w:val="161E2F"/>
          <w:sz w:val="22"/>
        </w:rPr>
        <w:t>Bring printed copies of this talk track to the room only for your own reference — never hand one to an investor. Bring the one-page financial model as a handout, or send as a post-meeting follow-up.</w:t>
      </w:r>
    </w:p>
    <w:p>
      <w:pPr>
        <w:spacing w:before="280" w:after="120" w:line="276" w:lineRule="auto"/>
      </w:pPr>
      <w:r>
        <w:rPr>
          <w:rFonts w:ascii="Calibri" w:hAnsi="Calibri"/>
          <w:b/>
          <w:i w:val="0"/>
          <w:smallCaps/>
          <w:color w:val="161E2F"/>
          <w:sz w:val="28"/>
        </w:rPr>
        <w:t>In the room</w:t>
      </w:r>
    </w:p>
    <w:p>
      <w:pPr>
        <w:spacing w:before="0" w:after="120" w:line="300" w:lineRule="auto"/>
      </w:pPr>
      <w:r>
        <w:rPr>
          <w:rFonts w:ascii="Calibri" w:hAnsi="Calibri"/>
          <w:b w:val="0"/>
          <w:i w:val="0"/>
          <w:color w:val="161E2F"/>
          <w:sz w:val="22"/>
        </w:rPr>
        <w:t>Land the first sentence of every slide before advancing. Investors read the slide title before you speak; let them finish reading.</w:t>
      </w:r>
    </w:p>
    <w:p>
      <w:pPr>
        <w:spacing w:before="0" w:after="120" w:line="300" w:lineRule="auto"/>
      </w:pPr>
      <w:r>
        <w:rPr>
          <w:rFonts w:ascii="Calibri" w:hAnsi="Calibri"/>
          <w:b w:val="0"/>
          <w:i w:val="0"/>
          <w:color w:val="161E2F"/>
          <w:sz w:val="22"/>
        </w:rPr>
        <w:t>Use numbers with full specificity. “Three to ten sellers per evaluation,” not “a few sellers.” “$1,999 per month on Scale,” not “just under $2,000.” Specificity signals the model exists.</w:t>
      </w:r>
    </w:p>
    <w:p>
      <w:pPr>
        <w:spacing w:before="0" w:after="120" w:line="300" w:lineRule="auto"/>
      </w:pPr>
      <w:r>
        <w:rPr>
          <w:rFonts w:ascii="Calibri" w:hAnsi="Calibri"/>
          <w:b w:val="0"/>
          <w:i w:val="0"/>
          <w:color w:val="161E2F"/>
          <w:sz w:val="22"/>
        </w:rPr>
        <w:t>Never apologize for what the product does not yet have. When asked about a gap — enterprise SSO, specific integration, EU data residency — answer the exact question with the exact shipping timeline and move on. Do not pre-emptively list risks.</w:t>
      </w:r>
    </w:p>
    <w:p>
      <w:pPr>
        <w:spacing w:before="0" w:after="120" w:line="300" w:lineRule="auto"/>
      </w:pPr>
      <w:r>
        <w:rPr>
          <w:rFonts w:ascii="Calibri" w:hAnsi="Calibri"/>
          <w:b w:val="0"/>
          <w:i w:val="0"/>
          <w:color w:val="161E2F"/>
          <w:sz w:val="22"/>
        </w:rPr>
        <w:t>When asked a hostile or leading question, reframe once and answer directly once. Do not argue. If the investor disagrees with a core thesis point, note the disagreement, name one reason it might be wrong, and redirect to what would need to be true for them to change their mind. Investors who push are usually engaged.</w:t>
      </w:r>
    </w:p>
    <w:p>
      <w:pPr>
        <w:spacing w:before="0" w:after="200" w:line="300" w:lineRule="auto"/>
      </w:pPr>
      <w:r>
        <w:rPr>
          <w:rFonts w:ascii="Calibri" w:hAnsi="Calibri"/>
          <w:b w:val="0"/>
          <w:i w:val="0"/>
          <w:color w:val="161E2F"/>
          <w:sz w:val="22"/>
        </w:rPr>
        <w:t>If the room goes quiet for more than two beats after an answer, do not fill the silence. The silence is the investor computing. Let them compute.</w:t>
      </w:r>
    </w:p>
    <w:p>
      <w:pPr>
        <w:spacing w:before="280" w:after="120" w:line="276" w:lineRule="auto"/>
      </w:pPr>
      <w:r>
        <w:rPr>
          <w:rFonts w:ascii="Calibri" w:hAnsi="Calibri"/>
          <w:b/>
          <w:i w:val="0"/>
          <w:smallCaps/>
          <w:color w:val="161E2F"/>
          <w:sz w:val="28"/>
        </w:rPr>
        <w:t>After the room</w:t>
      </w:r>
    </w:p>
    <w:p>
      <w:pPr>
        <w:spacing w:before="0" w:after="120" w:line="300" w:lineRule="auto"/>
      </w:pPr>
      <w:r>
        <w:rPr>
          <w:rFonts w:ascii="Calibri" w:hAnsi="Calibri"/>
          <w:b w:val="0"/>
          <w:i w:val="0"/>
          <w:color w:val="161E2F"/>
          <w:sz w:val="22"/>
        </w:rPr>
        <w:t>Send the follow-up the same day, ideally within two hours. Three attachments: the deck PDF, the one-page financial model, the design-partner list (redacted for confidentiality). Body of the email is three sentences: thank-you, summary of the one point the investor seemed most interested in, explicit next step with a proposed date.</w:t>
      </w:r>
    </w:p>
    <w:p>
      <w:pPr>
        <w:spacing w:before="0" w:after="80" w:line="300" w:lineRule="auto"/>
      </w:pPr>
      <w:r>
        <w:rPr>
          <w:rFonts w:ascii="Calibri" w:hAnsi="Calibri"/>
          <w:b w:val="0"/>
          <w:i w:val="0"/>
          <w:color w:val="161E2F"/>
          <w:sz w:val="22"/>
        </w:rPr>
        <w:t>Track every question asked in a shared log. Patterns across rooms tell you what to pre-empt in the next pitch. The same question asked by three different investors is a deck defect, not an investor quirk.</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b/>
        <w:i w:val="0"/>
        <w:smallCaps/>
        <w:color w:val="5A6A7A"/>
        <w:sz w:val="17"/>
      </w:rPr>
      <w:t>SOURCERA  ·  INVESTOR PITCH  ·  TALK TRACK v1.0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