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3"/>
        <w:gridCol w:w="4395"/>
        <w:gridCol w:w="1701"/>
        <w:gridCol w:w="1417"/>
        <w:tblGridChange w:id="0">
          <w:tblGrid>
            <w:gridCol w:w="2323"/>
            <w:gridCol w:w="4395"/>
            <w:gridCol w:w="1701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Elements of Electrical and Electronics Engineering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I/II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Batch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Maruti Zalte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160101210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Sign &amp;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Grade/Marks: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/ 25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Experiment No: 10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Inverting and Non-inverting amplifier using OPAMP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ind w:left="-709" w:firstLine="709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Aim and Objective of the Experiment: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the open loop configuration of OPAMP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the concept of negative feedback and closed loop configuration of OPAMP.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understand inverting and Non-inverting amplifier of OPAMP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find gain of inverting and non-inverting amplifiers 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COs to be achieved: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Understand operational amplifier and its applications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Circuit Diagram/ Block Diagram: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rtl w:val="0"/>
              </w:rPr>
              <w:t xml:space="preserve">Pin diagram of IC 741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5672045" cy="2738838"/>
                  <wp:effectExtent b="0" l="0" r="0" t="0"/>
                  <wp:docPr descr="Pin Configuration of 741 Op-amp Diagram" id="15" name="image4.png"/>
                  <a:graphic>
                    <a:graphicData uri="http://schemas.openxmlformats.org/drawingml/2006/picture">
                      <pic:pic>
                        <pic:nvPicPr>
                          <pic:cNvPr descr="Pin Configuration of 741 Op-amp Diagram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045" cy="2738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1. Inverting Amplifier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0" distT="0" distL="0" distR="0">
                  <wp:extent cx="3865044" cy="2343815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044" cy="2343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2. Non-inverting Amplifier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0" distT="0" distL="0" distR="0">
                  <wp:extent cx="4257514" cy="2722736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514" cy="2722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8"/>
                <w:szCs w:val="28"/>
                <w:rtl w:val="0"/>
              </w:rPr>
              <w:t xml:space="preserve">Observation Table: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1. A. Inverting Amplifier: DC input Voltage</w:t>
            </w:r>
          </w:p>
          <w:tbl>
            <w:tblPr>
              <w:tblStyle w:val="Table5"/>
              <w:tblW w:w="968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2"/>
              <w:gridCol w:w="1843"/>
              <w:gridCol w:w="2268"/>
              <w:gridCol w:w="2409"/>
              <w:gridCol w:w="2141"/>
              <w:tblGridChange w:id="0">
                <w:tblGrid>
                  <w:gridCol w:w="1022"/>
                  <w:gridCol w:w="1843"/>
                  <w:gridCol w:w="2268"/>
                  <w:gridCol w:w="2409"/>
                  <w:gridCol w:w="21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Sr.No.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Vin (V)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Vout (V)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Practical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 = Vout/Vin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Theoretical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Gain=-RF/R1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-9.99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-9.99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E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1.2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-12.0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0.8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-7.99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-9.98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1. B. Inverting Amplifier: AC input Voltage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3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39"/>
              <w:gridCol w:w="1514"/>
              <w:gridCol w:w="1514"/>
              <w:gridCol w:w="1281"/>
              <w:gridCol w:w="1793"/>
              <w:gridCol w:w="2693"/>
              <w:tblGridChange w:id="0">
                <w:tblGrid>
                  <w:gridCol w:w="839"/>
                  <w:gridCol w:w="1514"/>
                  <w:gridCol w:w="1514"/>
                  <w:gridCol w:w="1281"/>
                  <w:gridCol w:w="1793"/>
                  <w:gridCol w:w="2693"/>
                </w:tblGrid>
              </w:tblGridChange>
            </w:tblGrid>
            <w:tr>
              <w:trPr>
                <w:cantSplit w:val="0"/>
                <w:trHeight w:val="51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Sr.No.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Frequency (Hz)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Vin(p-p) (V)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Vout(p-p) (V)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Practical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 = Vout/Vin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Theoretical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Gain=-RF/R1</w:t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1K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2K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20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</w:tr>
            <w:tr>
              <w:trPr>
                <w:cantSplit w:val="0"/>
                <w:trHeight w:val="26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1K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0.8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-10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2. A. Non-inverting Amplifier: DC input Voltage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8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2"/>
              <w:gridCol w:w="1843"/>
              <w:gridCol w:w="2268"/>
              <w:gridCol w:w="2409"/>
              <w:gridCol w:w="2141"/>
              <w:tblGridChange w:id="0">
                <w:tblGrid>
                  <w:gridCol w:w="1022"/>
                  <w:gridCol w:w="1843"/>
                  <w:gridCol w:w="2268"/>
                  <w:gridCol w:w="2409"/>
                  <w:gridCol w:w="21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9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Sr.No.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Vin (V)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Vout (V)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Practical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 = Vout/Vin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Theoretical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Gain=1+RF/R1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0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5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1.2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13.2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A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8B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0.8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8.81</w:t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2. B. Non-inverting Amplifier: AC input Voltage</w:t>
            </w:r>
          </w:p>
          <w:tbl>
            <w:tblPr>
              <w:tblStyle w:val="Table8"/>
              <w:tblW w:w="963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39"/>
              <w:gridCol w:w="1514"/>
              <w:gridCol w:w="1514"/>
              <w:gridCol w:w="1515"/>
              <w:gridCol w:w="1843"/>
              <w:gridCol w:w="2409"/>
              <w:tblGridChange w:id="0">
                <w:tblGrid>
                  <w:gridCol w:w="839"/>
                  <w:gridCol w:w="1514"/>
                  <w:gridCol w:w="1514"/>
                  <w:gridCol w:w="1515"/>
                  <w:gridCol w:w="1843"/>
                  <w:gridCol w:w="2409"/>
                </w:tblGrid>
              </w:tblGridChange>
            </w:tblGrid>
            <w:tr>
              <w:trPr>
                <w:cantSplit w:val="0"/>
                <w:trHeight w:val="51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1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Sr.No.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Frequency (Hz)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Vin(p-p) (V)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Vout(p-p) (V)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Practical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 = Vout/Vin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Theoretical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Gain=1+RF/R1</w:t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9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1K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1V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F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2K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2V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22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                  11</w:t>
                  </w:r>
                </w:p>
              </w:tc>
            </w:tr>
            <w:tr>
              <w:trPr>
                <w:cantSplit w:val="0"/>
                <w:trHeight w:val="26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A5">
                  <w:pPr>
                    <w:widowControl w:val="0"/>
                    <w:spacing w:line="264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1K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0.8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11.25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widowControl w:val="0"/>
                    <w:spacing w:line="264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11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  <w:drawing>
                <wp:inline distB="114300" distT="114300" distL="114300" distR="114300">
                  <wp:extent cx="6219825" cy="3657600"/>
                  <wp:effectExtent b="0" l="0" r="0" t="0"/>
                  <wp:docPr id="1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  <w:drawing>
                <wp:inline distB="114300" distT="114300" distL="114300" distR="114300">
                  <wp:extent cx="6219825" cy="3365500"/>
                  <wp:effectExtent b="0" l="0" r="0" t="0"/>
                  <wp:docPr id="1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  <w:drawing>
                <wp:inline distB="114300" distT="114300" distL="114300" distR="114300">
                  <wp:extent cx="6219825" cy="3352800"/>
                  <wp:effectExtent b="0" l="0" r="0" t="0"/>
                  <wp:docPr id="11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  <w:drawing>
                <wp:inline distB="114300" distT="114300" distL="114300" distR="114300">
                  <wp:extent cx="6219825" cy="3822700"/>
                  <wp:effectExtent b="0" l="0" r="0" t="0"/>
                  <wp:docPr id="1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Post Lab Subjective/Objective type Questions: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List the characteristics of Ideal operational amplifier. 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   Infinite Open loop gain.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ii.  Infinite Input Impedance.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iii. Zero Output Impedance.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iv. Infinite Bandwidth.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v.  Zero Offset Voltage.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vi. Zero Input Bias current.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List the important parameters of IC 741 operational amplifier.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   The open loop gain = 2 x 10^5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ii.  Input impedance = 2 mOhm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iii. Output impedance is from 75- 100 Ohms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iv. Finite Bandwidth around 1 MHz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v.  The offset voltage is in the range of 2 – 6 mVolts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vi. Input bias current is in the range of 500 nano Amps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can use Op Amp in inverting and non-inverting cases.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758.0" w:type="dxa"/>
        <w:jc w:val="left"/>
        <w:tblInd w:w="50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8"/>
        <w:tblGridChange w:id="0">
          <w:tblGrid>
            <w:gridCol w:w="47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Signature of faculty in-charge with Date:</w:t>
            </w:r>
          </w:p>
        </w:tc>
      </w:tr>
    </w:tbl>
    <w:p w:rsidR="00000000" w:rsidDel="00000000" w:rsidP="00000000" w:rsidRDefault="00000000" w:rsidRPr="00000000" w14:paraId="000000E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530" w:left="1440" w:right="90" w:header="9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  <w:tbl>
    <w:tblPr>
      <w:tblStyle w:val="Table12"/>
      <w:tblW w:w="10916.0" w:type="dxa"/>
      <w:jc w:val="left"/>
      <w:tblInd w:w="-74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44"/>
      <w:gridCol w:w="3969"/>
      <w:gridCol w:w="3403"/>
      <w:tblGridChange w:id="0">
        <w:tblGrid>
          <w:gridCol w:w="3544"/>
          <w:gridCol w:w="3969"/>
          <w:gridCol w:w="340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EEEE</w:t>
          </w:r>
        </w:p>
      </w:tc>
      <w:tc>
        <w:tcPr/>
        <w:p w:rsidR="00000000" w:rsidDel="00000000" w:rsidP="00000000" w:rsidRDefault="00000000" w:rsidRPr="00000000" w14:paraId="000000E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Semester: I/II</w:t>
          </w:r>
        </w:p>
      </w:tc>
      <w:tc>
        <w:tcPr/>
        <w:p w:rsidR="00000000" w:rsidDel="00000000" w:rsidP="00000000" w:rsidRDefault="00000000" w:rsidRPr="00000000" w14:paraId="000000F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Academic Year: 2021-22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                     </w:t>
          </w:r>
        </w:p>
      </w:tc>
    </w:tr>
  </w:tbl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11925.0" w:type="dxa"/>
      <w:jc w:val="left"/>
      <w:tblInd w:w="-139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72"/>
      <w:gridCol w:w="6154"/>
      <w:gridCol w:w="2199"/>
      <w:tblGridChange w:id="0">
        <w:tblGrid>
          <w:gridCol w:w="3572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973580" cy="609600"/>
                <wp:effectExtent b="0" l="0" r="0" t="0"/>
                <wp:docPr descr="A picture containing drawing&#10;&#10;Description automatically generated" id="19" name="image5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5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8">
          <w:pPr>
            <w:tabs>
              <w:tab w:val="center" w:pos="4513"/>
              <w:tab w:val="right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center" w:pos="4513"/>
              <w:tab w:val="right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EA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Sciences and Humanities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982980" cy="609600"/>
                <wp:effectExtent b="0" l="0" r="0" t="0"/>
                <wp:docPr descr="A close up of a sign&#10;&#10;Description automatically generated" id="18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5C8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 w:val="1"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qFormat w:val="1"/>
    <w:rsid w:val="00E675C8"/>
    <w:pPr>
      <w:suppressAutoHyphens w:val="1"/>
      <w:spacing w:after="0" w:line="240" w:lineRule="auto"/>
    </w:pPr>
    <w:rPr>
      <w:rFonts w:eastAsia="Times New Roman"/>
      <w:lang w:eastAsia="zh-CN"/>
    </w:rPr>
  </w:style>
  <w:style w:type="paragraph" w:styleId="TableContents" w:customStyle="1">
    <w:name w:val="Table Contents"/>
    <w:basedOn w:val="Normal"/>
    <w:rsid w:val="00E675C8"/>
    <w:pPr>
      <w:suppressLineNumbers w:val="1"/>
      <w:suppressAutoHyphens w:val="1"/>
    </w:pPr>
    <w:rPr>
      <w:lang w:eastAsia="zh-CN" w:val="en-IN"/>
    </w:rPr>
  </w:style>
  <w:style w:type="paragraph" w:styleId="ListParagraph">
    <w:name w:val="List Paragraph"/>
    <w:basedOn w:val="Normal"/>
    <w:uiPriority w:val="34"/>
    <w:qFormat w:val="1"/>
    <w:rsid w:val="00E675C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75C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75C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C559F"/>
    <w:pPr>
      <w:spacing w:after="115" w:before="100" w:beforeAutospacing="1"/>
    </w:pPr>
    <w:rPr>
      <w:rFonts w:ascii="Times New Roman" w:cs="Times New Roman" w:eastAsia="Times New Roman" w:hAnsi="Times New Roman"/>
      <w:color w:val="000000"/>
      <w:sz w:val="24"/>
      <w:szCs w:val="24"/>
      <w:lang w:eastAsia="en-US"/>
    </w:rPr>
  </w:style>
  <w:style w:type="character" w:styleId="ez-toc-section" w:customStyle="1">
    <w:name w:val="ez-toc-section"/>
    <w:rsid w:val="00FC559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3n7akHwOSUZrRjT6w5kugyz+Uw==">AMUW2mWAPkuhSGgwVFB2a3Rq3AiS+BhnqN/tjRyqb3FtHLRCLjRSUnLOHmWKSdJKPJa7Y0M2kMrbrhm5FLQ8EA4eCCZoIOPSxby9JUEd8XelSO4bopqiGYlKVK2mKtMxFrr3GwY1ahZY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2021-10-13T09:32:00Z</dcterms:created>
  <dc:creator>MGK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0x0101003667760199C9C54EAB872EE07218CCDE</vt:lpwstr>
  </property>
</Properties>
</file>