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F3DF2E">
      <w:pPr>
        <w:rPr>
          <w:rFonts w:hint="eastAsia" w:eastAsia="仿宋_GB2312"/>
          <w:b/>
          <w:bCs/>
          <w:sz w:val="28"/>
        </w:rPr>
      </w:pPr>
    </w:p>
    <w:p w14:paraId="2B387E5C">
      <w:pPr>
        <w:rPr>
          <w:rFonts w:hint="eastAsia" w:eastAsia="仿宋_GB2312"/>
          <w:b/>
          <w:bCs/>
          <w:sz w:val="28"/>
        </w:rPr>
      </w:pPr>
    </w:p>
    <w:p w14:paraId="118B726E">
      <w:pPr>
        <w:spacing w:line="360" w:lineRule="auto"/>
        <w:jc w:val="center"/>
        <w:rPr>
          <w:rFonts w:hint="eastAsia"/>
          <w:b/>
          <w:bCs/>
          <w:sz w:val="44"/>
          <w:szCs w:val="44"/>
        </w:rPr>
      </w:pPr>
      <w:r>
        <w:rPr>
          <w:rFonts w:hint="eastAsia"/>
          <w:b/>
          <w:bCs/>
          <w:sz w:val="44"/>
          <w:szCs w:val="44"/>
        </w:rPr>
        <w:t>江苏联合职业技术学院相城中专办学点</w:t>
      </w:r>
    </w:p>
    <w:p w14:paraId="6BED630F">
      <w:pPr>
        <w:jc w:val="center"/>
        <w:rPr>
          <w:rFonts w:hint="eastAsia" w:eastAsia="仿宋_GB2312"/>
          <w:b/>
          <w:bCs/>
          <w:spacing w:val="30"/>
          <w:sz w:val="36"/>
        </w:rPr>
      </w:pPr>
    </w:p>
    <w:p w14:paraId="3A190DE0">
      <w:pPr>
        <w:widowControl/>
        <w:kinsoku w:val="0"/>
        <w:autoSpaceDE w:val="0"/>
        <w:autoSpaceDN w:val="0"/>
        <w:adjustRightInd w:val="0"/>
        <w:snapToGrid w:val="0"/>
        <w:jc w:val="center"/>
        <w:textAlignment w:val="baseline"/>
        <w:rPr>
          <w:rFonts w:hint="eastAsia" w:ascii="黑体" w:hAnsi="黑体" w:eastAsia="黑体" w:cs="黑体"/>
          <w:b/>
          <w:bCs/>
          <w:snapToGrid w:val="0"/>
          <w:color w:val="000000"/>
          <w:kern w:val="0"/>
          <w:sz w:val="56"/>
          <w:szCs w:val="56"/>
        </w:rPr>
      </w:pPr>
      <w:r>
        <w:rPr>
          <w:rFonts w:hint="eastAsia" w:ascii="黑体" w:hAnsi="黑体" w:eastAsia="黑体" w:cs="黑体"/>
          <w:b/>
          <w:bCs/>
          <w:snapToGrid w:val="0"/>
          <w:color w:val="000000"/>
          <w:kern w:val="0"/>
          <w:sz w:val="56"/>
          <w:szCs w:val="56"/>
        </w:rPr>
        <w:t>教 师 教 案 本</w:t>
      </w:r>
    </w:p>
    <w:p w14:paraId="16B76C8F">
      <w:pPr>
        <w:jc w:val="center"/>
        <w:rPr>
          <w:rFonts w:hint="eastAsia" w:eastAsia="仿宋_GB2312"/>
          <w:b/>
          <w:bCs/>
          <w:sz w:val="52"/>
        </w:rPr>
      </w:pPr>
    </w:p>
    <w:p w14:paraId="15DAE808">
      <w:pPr>
        <w:spacing w:line="360" w:lineRule="auto"/>
        <w:jc w:val="center"/>
        <w:rPr>
          <w:rFonts w:hint="eastAsia"/>
          <w:sz w:val="28"/>
        </w:rPr>
      </w:pPr>
    </w:p>
    <w:p w14:paraId="64390D01">
      <w:pPr>
        <w:rPr>
          <w:rFonts w:hint="eastAsia" w:ascii="宋体" w:hAnsi="宋体"/>
          <w:sz w:val="28"/>
        </w:rPr>
      </w:pPr>
    </w:p>
    <w:p w14:paraId="5878C7BD">
      <w:pPr>
        <w:jc w:val="center"/>
        <w:rPr>
          <w:rFonts w:hint="eastAsia" w:ascii="宋体" w:hAnsi="宋体"/>
          <w:b/>
          <w:sz w:val="32"/>
        </w:rPr>
      </w:pPr>
      <w:r>
        <w:rPr>
          <w:rFonts w:hint="eastAsia" w:ascii="宋体" w:hAnsi="宋体"/>
          <w:b/>
          <w:sz w:val="32"/>
        </w:rPr>
        <w:t>（20  — 20  学年   第</w:t>
      </w:r>
      <w:r>
        <w:rPr>
          <w:rFonts w:hint="eastAsia" w:ascii="宋体" w:hAnsi="宋体"/>
          <w:b/>
          <w:sz w:val="32"/>
          <w:u w:val="single"/>
        </w:rPr>
        <w:t xml:space="preserve">    </w:t>
      </w:r>
      <w:r>
        <w:rPr>
          <w:rFonts w:hint="eastAsia" w:ascii="宋体" w:hAnsi="宋体"/>
          <w:b/>
          <w:sz w:val="32"/>
        </w:rPr>
        <w:t>学期）</w:t>
      </w:r>
    </w:p>
    <w:p w14:paraId="39E91017">
      <w:pPr>
        <w:jc w:val="center"/>
        <w:rPr>
          <w:rFonts w:hint="eastAsia" w:ascii="宋体" w:hAnsi="宋体"/>
          <w:b/>
          <w:sz w:val="32"/>
        </w:rPr>
      </w:pPr>
    </w:p>
    <w:p w14:paraId="505C9F7E">
      <w:pPr>
        <w:jc w:val="center"/>
        <w:rPr>
          <w:rFonts w:hint="eastAsia" w:ascii="宋体" w:hAnsi="宋体"/>
          <w:sz w:val="32"/>
        </w:rPr>
      </w:pPr>
    </w:p>
    <w:p w14:paraId="5518E3F8">
      <w:pPr>
        <w:jc w:val="center"/>
        <w:rPr>
          <w:rFonts w:hint="eastAsia" w:ascii="宋体" w:hAnsi="宋体"/>
          <w:sz w:val="32"/>
        </w:rPr>
      </w:pPr>
    </w:p>
    <w:tbl>
      <w:tblPr>
        <w:tblStyle w:val="4"/>
        <w:tblW w:w="0" w:type="auto"/>
        <w:tblInd w:w="0" w:type="dxa"/>
        <w:tblLayout w:type="autofit"/>
        <w:tblCellMar>
          <w:top w:w="0" w:type="dxa"/>
          <w:left w:w="108" w:type="dxa"/>
          <w:bottom w:w="0" w:type="dxa"/>
          <w:right w:w="108" w:type="dxa"/>
        </w:tblCellMar>
      </w:tblPr>
      <w:tblGrid>
        <w:gridCol w:w="2687"/>
        <w:gridCol w:w="5835"/>
      </w:tblGrid>
      <w:tr w14:paraId="2FC7FFFF">
        <w:tblPrEx>
          <w:tblCellMar>
            <w:top w:w="0" w:type="dxa"/>
            <w:left w:w="108" w:type="dxa"/>
            <w:bottom w:w="0" w:type="dxa"/>
            <w:right w:w="108" w:type="dxa"/>
          </w:tblCellMar>
        </w:tblPrEx>
        <w:trPr>
          <w:trHeight w:val="816" w:hRule="atLeast"/>
        </w:trPr>
        <w:tc>
          <w:tcPr>
            <w:tcW w:w="2687" w:type="dxa"/>
            <w:noWrap w:val="0"/>
            <w:vAlign w:val="center"/>
          </w:tcPr>
          <w:p w14:paraId="6F1846C8">
            <w:pPr>
              <w:jc w:val="right"/>
              <w:rPr>
                <w:sz w:val="32"/>
                <w:szCs w:val="32"/>
              </w:rPr>
            </w:pPr>
            <w:r>
              <w:rPr>
                <w:rFonts w:hint="eastAsia"/>
                <w:sz w:val="32"/>
                <w:szCs w:val="32"/>
              </w:rPr>
              <w:t>院    系</w:t>
            </w:r>
          </w:p>
        </w:tc>
        <w:tc>
          <w:tcPr>
            <w:tcW w:w="5835" w:type="dxa"/>
            <w:noWrap w:val="0"/>
            <w:vAlign w:val="center"/>
          </w:tcPr>
          <w:p w14:paraId="68156924">
            <w:pPr>
              <w:rPr>
                <w:sz w:val="32"/>
                <w:szCs w:val="32"/>
              </w:rPr>
            </w:pPr>
            <w:r>
              <w:rPr>
                <w:rFonts w:hint="eastAsia"/>
                <w:sz w:val="32"/>
                <w:szCs w:val="32"/>
                <w:u w:val="single"/>
              </w:rPr>
              <w:t xml:space="preserve">                                   </w:t>
            </w:r>
          </w:p>
        </w:tc>
      </w:tr>
      <w:tr w14:paraId="3DDE05BA">
        <w:tblPrEx>
          <w:tblCellMar>
            <w:top w:w="0" w:type="dxa"/>
            <w:left w:w="108" w:type="dxa"/>
            <w:bottom w:w="0" w:type="dxa"/>
            <w:right w:w="108" w:type="dxa"/>
          </w:tblCellMar>
        </w:tblPrEx>
        <w:trPr>
          <w:trHeight w:val="816" w:hRule="atLeast"/>
        </w:trPr>
        <w:tc>
          <w:tcPr>
            <w:tcW w:w="2687" w:type="dxa"/>
            <w:noWrap w:val="0"/>
            <w:vAlign w:val="center"/>
          </w:tcPr>
          <w:p w14:paraId="430DBA8A">
            <w:pPr>
              <w:jc w:val="right"/>
              <w:rPr>
                <w:sz w:val="32"/>
                <w:szCs w:val="32"/>
              </w:rPr>
            </w:pPr>
            <w:r>
              <w:rPr>
                <w:rFonts w:hint="eastAsia"/>
                <w:sz w:val="32"/>
                <w:szCs w:val="32"/>
              </w:rPr>
              <w:t>授课班级</w:t>
            </w:r>
          </w:p>
        </w:tc>
        <w:tc>
          <w:tcPr>
            <w:tcW w:w="5835" w:type="dxa"/>
            <w:noWrap w:val="0"/>
            <w:vAlign w:val="center"/>
          </w:tcPr>
          <w:p w14:paraId="4FD52CD6">
            <w:pPr>
              <w:rPr>
                <w:sz w:val="32"/>
                <w:szCs w:val="32"/>
                <w:u w:val="single"/>
              </w:rPr>
            </w:pPr>
            <w:r>
              <w:rPr>
                <w:rFonts w:hint="eastAsia"/>
                <w:sz w:val="32"/>
                <w:szCs w:val="32"/>
                <w:u w:val="single"/>
              </w:rPr>
              <w:t xml:space="preserve">                                    </w:t>
            </w:r>
          </w:p>
        </w:tc>
      </w:tr>
      <w:tr w14:paraId="28BFE392">
        <w:tblPrEx>
          <w:tblCellMar>
            <w:top w:w="0" w:type="dxa"/>
            <w:left w:w="108" w:type="dxa"/>
            <w:bottom w:w="0" w:type="dxa"/>
            <w:right w:w="108" w:type="dxa"/>
          </w:tblCellMar>
        </w:tblPrEx>
        <w:trPr>
          <w:trHeight w:val="816" w:hRule="atLeast"/>
        </w:trPr>
        <w:tc>
          <w:tcPr>
            <w:tcW w:w="2687" w:type="dxa"/>
            <w:noWrap w:val="0"/>
            <w:vAlign w:val="center"/>
          </w:tcPr>
          <w:p w14:paraId="4CD41525">
            <w:pPr>
              <w:jc w:val="right"/>
              <w:rPr>
                <w:sz w:val="32"/>
                <w:szCs w:val="32"/>
              </w:rPr>
            </w:pPr>
            <w:r>
              <w:rPr>
                <w:rFonts w:hint="eastAsia"/>
                <w:sz w:val="32"/>
                <w:szCs w:val="32"/>
              </w:rPr>
              <w:t>专业名称</w:t>
            </w:r>
          </w:p>
        </w:tc>
        <w:tc>
          <w:tcPr>
            <w:tcW w:w="5835" w:type="dxa"/>
            <w:noWrap w:val="0"/>
            <w:vAlign w:val="center"/>
          </w:tcPr>
          <w:p w14:paraId="608D2679">
            <w:pPr>
              <w:rPr>
                <w:sz w:val="32"/>
                <w:szCs w:val="32"/>
              </w:rPr>
            </w:pPr>
            <w:r>
              <w:rPr>
                <w:rFonts w:hint="eastAsia"/>
                <w:sz w:val="32"/>
                <w:szCs w:val="32"/>
                <w:u w:val="single"/>
              </w:rPr>
              <w:t xml:space="preserve">                                   </w:t>
            </w:r>
          </w:p>
        </w:tc>
      </w:tr>
      <w:tr w14:paraId="4134CB0F">
        <w:tblPrEx>
          <w:tblCellMar>
            <w:top w:w="0" w:type="dxa"/>
            <w:left w:w="108" w:type="dxa"/>
            <w:bottom w:w="0" w:type="dxa"/>
            <w:right w:w="108" w:type="dxa"/>
          </w:tblCellMar>
        </w:tblPrEx>
        <w:trPr>
          <w:trHeight w:val="816" w:hRule="atLeast"/>
        </w:trPr>
        <w:tc>
          <w:tcPr>
            <w:tcW w:w="2687" w:type="dxa"/>
            <w:noWrap w:val="0"/>
            <w:vAlign w:val="center"/>
          </w:tcPr>
          <w:p w14:paraId="602647AE">
            <w:pPr>
              <w:jc w:val="right"/>
              <w:rPr>
                <w:sz w:val="32"/>
                <w:szCs w:val="32"/>
              </w:rPr>
            </w:pPr>
            <w:r>
              <w:rPr>
                <w:rFonts w:hint="eastAsia"/>
                <w:sz w:val="32"/>
                <w:szCs w:val="32"/>
              </w:rPr>
              <w:t>课程名称</w:t>
            </w:r>
          </w:p>
        </w:tc>
        <w:tc>
          <w:tcPr>
            <w:tcW w:w="5835" w:type="dxa"/>
            <w:noWrap w:val="0"/>
            <w:vAlign w:val="center"/>
          </w:tcPr>
          <w:p w14:paraId="141BC3F0">
            <w:pPr>
              <w:rPr>
                <w:sz w:val="32"/>
                <w:szCs w:val="32"/>
              </w:rPr>
            </w:pPr>
            <w:r>
              <w:rPr>
                <w:rFonts w:hint="eastAsia"/>
                <w:sz w:val="32"/>
                <w:szCs w:val="32"/>
                <w:u w:val="single"/>
              </w:rPr>
              <w:t xml:space="preserve">                                   </w:t>
            </w:r>
          </w:p>
        </w:tc>
      </w:tr>
      <w:tr w14:paraId="0715EFA9">
        <w:tblPrEx>
          <w:tblCellMar>
            <w:top w:w="0" w:type="dxa"/>
            <w:left w:w="108" w:type="dxa"/>
            <w:bottom w:w="0" w:type="dxa"/>
            <w:right w:w="108" w:type="dxa"/>
          </w:tblCellMar>
        </w:tblPrEx>
        <w:trPr>
          <w:trHeight w:val="816" w:hRule="atLeast"/>
        </w:trPr>
        <w:tc>
          <w:tcPr>
            <w:tcW w:w="2687" w:type="dxa"/>
            <w:noWrap w:val="0"/>
            <w:vAlign w:val="center"/>
          </w:tcPr>
          <w:p w14:paraId="68922B21">
            <w:pPr>
              <w:jc w:val="right"/>
              <w:rPr>
                <w:sz w:val="32"/>
                <w:szCs w:val="32"/>
              </w:rPr>
            </w:pPr>
            <w:r>
              <w:rPr>
                <w:rFonts w:hint="eastAsia"/>
                <w:sz w:val="32"/>
                <w:szCs w:val="32"/>
              </w:rPr>
              <w:t>授课教师</w:t>
            </w:r>
          </w:p>
        </w:tc>
        <w:tc>
          <w:tcPr>
            <w:tcW w:w="5835" w:type="dxa"/>
            <w:noWrap w:val="0"/>
            <w:vAlign w:val="center"/>
          </w:tcPr>
          <w:p w14:paraId="217D5898">
            <w:pPr>
              <w:rPr>
                <w:sz w:val="32"/>
                <w:szCs w:val="32"/>
              </w:rPr>
            </w:pPr>
            <w:r>
              <w:rPr>
                <w:rFonts w:hint="eastAsia"/>
                <w:sz w:val="32"/>
                <w:szCs w:val="32"/>
                <w:u w:val="single"/>
              </w:rPr>
              <w:t xml:space="preserve">                                   </w:t>
            </w:r>
          </w:p>
        </w:tc>
      </w:tr>
    </w:tbl>
    <w:p w14:paraId="6B31C098">
      <w:pPr>
        <w:jc w:val="center"/>
        <w:rPr>
          <w:sz w:val="32"/>
          <w:szCs w:val="32"/>
        </w:rPr>
      </w:pPr>
    </w:p>
    <w:p w14:paraId="06319883">
      <w:pPr>
        <w:jc w:val="center"/>
        <w:rPr>
          <w:rFonts w:hint="eastAsia" w:ascii="宋体" w:hAnsi="宋体"/>
          <w:sz w:val="32"/>
        </w:rPr>
      </w:pPr>
    </w:p>
    <w:p w14:paraId="39FCA139">
      <w:pPr>
        <w:jc w:val="center"/>
        <w:rPr>
          <w:rFonts w:hint="eastAsia" w:ascii="宋体" w:hAnsi="宋体"/>
          <w:sz w:val="32"/>
        </w:rPr>
      </w:pPr>
    </w:p>
    <w:p w14:paraId="327F7D7D">
      <w:pPr>
        <w:jc w:val="center"/>
        <w:rPr>
          <w:rFonts w:hint="eastAsia" w:ascii="宋体" w:hAnsi="宋体"/>
          <w:sz w:val="32"/>
        </w:rPr>
      </w:pPr>
    </w:p>
    <w:p w14:paraId="50627E9F">
      <w:pPr>
        <w:rPr>
          <w:rFonts w:hint="eastAsia"/>
          <w:sz w:val="10"/>
        </w:rPr>
      </w:pPr>
    </w:p>
    <w:tbl>
      <w:tblPr>
        <w:tblStyle w:val="4"/>
        <w:tblW w:w="475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147"/>
        <w:gridCol w:w="1276"/>
        <w:gridCol w:w="1341"/>
        <w:gridCol w:w="1306"/>
        <w:gridCol w:w="2291"/>
      </w:tblGrid>
      <w:tr w14:paraId="23E3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5" w:hRule="atLeast"/>
        </w:trPr>
        <w:tc>
          <w:tcPr>
            <w:tcW w:w="834" w:type="pct"/>
            <w:noWrap w:val="0"/>
            <w:vAlign w:val="center"/>
          </w:tcPr>
          <w:p w14:paraId="1E35969B">
            <w:pPr>
              <w:spacing w:before="156" w:beforeLines="50" w:after="156" w:afterLines="50"/>
              <w:jc w:val="center"/>
              <w:rPr>
                <w:rFonts w:hint="eastAsia"/>
                <w:sz w:val="24"/>
              </w:rPr>
            </w:pPr>
            <w:r>
              <w:rPr>
                <w:rFonts w:hint="eastAsia"/>
                <w:sz w:val="24"/>
              </w:rPr>
              <w:t>课题名称</w:t>
            </w:r>
          </w:p>
        </w:tc>
        <w:tc>
          <w:tcPr>
            <w:tcW w:w="4165" w:type="pct"/>
            <w:gridSpan w:val="5"/>
            <w:noWrap w:val="0"/>
            <w:vAlign w:val="center"/>
          </w:tcPr>
          <w:p>
            <w:pPr>
              <w:jc w:val="left"/>
            </w:pPr>
            <w:r>
              <w:t>电子元器件认识</w:t>
            </w:r>
          </w:p>
        </w:tc>
      </w:tr>
      <w:tr w14:paraId="146A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834" w:type="pct"/>
            <w:noWrap w:val="0"/>
            <w:vAlign w:val="center"/>
          </w:tcPr>
          <w:p w14:paraId="134B192F">
            <w:pPr>
              <w:spacing w:before="156" w:beforeLines="50" w:after="156" w:afterLines="50"/>
              <w:jc w:val="center"/>
              <w:rPr>
                <w:rFonts w:hint="eastAsia"/>
                <w:sz w:val="24"/>
              </w:rPr>
            </w:pPr>
            <w:r>
              <w:rPr>
                <w:rFonts w:hint="eastAsia"/>
                <w:sz w:val="24"/>
              </w:rPr>
              <w:t>授课班级</w:t>
            </w:r>
          </w:p>
        </w:tc>
        <w:tc>
          <w:tcPr>
            <w:tcW w:w="2130" w:type="pct"/>
            <w:gridSpan w:val="3"/>
            <w:noWrap w:val="0"/>
            <w:vAlign w:val="center"/>
          </w:tcPr>
          <w:p>
            <w:pPr>
              <w:jc w:val="left"/>
            </w:pPr>
            <w:r>
              <w:t>电气自动化（2）班</w:t>
            </w:r>
          </w:p>
        </w:tc>
        <w:tc>
          <w:tcPr>
            <w:tcW w:w="739" w:type="pct"/>
            <w:noWrap w:val="0"/>
            <w:vAlign w:val="center"/>
          </w:tcPr>
          <w:p w14:paraId="3EC8CD94">
            <w:pPr>
              <w:spacing w:before="156" w:beforeLines="50" w:after="156" w:afterLines="50"/>
              <w:jc w:val="center"/>
              <w:rPr>
                <w:rFonts w:hint="eastAsia"/>
                <w:sz w:val="24"/>
              </w:rPr>
            </w:pPr>
            <w:r>
              <w:rPr>
                <w:rFonts w:hint="eastAsia"/>
                <w:sz w:val="24"/>
              </w:rPr>
              <w:t>授课地点</w:t>
            </w:r>
          </w:p>
        </w:tc>
        <w:tc>
          <w:tcPr>
            <w:tcW w:w="1295" w:type="pct"/>
            <w:noWrap w:val="0"/>
            <w:vAlign w:val="center"/>
          </w:tcPr>
          <w:p>
            <w:pPr>
              <w:jc w:val="left"/>
            </w:pPr>
            <w:r>
              <w:t>电子实训室</w:t>
            </w:r>
          </w:p>
        </w:tc>
      </w:tr>
      <w:tr w14:paraId="5BDDF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834" w:type="pct"/>
            <w:noWrap w:val="0"/>
            <w:vAlign w:val="center"/>
          </w:tcPr>
          <w:p w14:paraId="05FF524D">
            <w:pPr>
              <w:spacing w:before="156" w:beforeLines="50" w:after="156" w:afterLines="50"/>
              <w:jc w:val="center"/>
              <w:rPr>
                <w:rFonts w:hint="eastAsia"/>
                <w:sz w:val="24"/>
              </w:rPr>
            </w:pPr>
            <w:r>
              <w:rPr>
                <w:rFonts w:hint="eastAsia"/>
                <w:sz w:val="24"/>
              </w:rPr>
              <w:t>授课时间</w:t>
            </w:r>
          </w:p>
        </w:tc>
        <w:tc>
          <w:tcPr>
            <w:tcW w:w="649" w:type="pct"/>
            <w:noWrap w:val="0"/>
            <w:vAlign w:val="center"/>
          </w:tcPr>
          <w:p>
            <w:pPr>
              <w:jc w:val="left"/>
            </w:pPr>
            <w:r>
              <w:t>2026年2月15日</w:t>
            </w:r>
          </w:p>
        </w:tc>
        <w:tc>
          <w:tcPr>
            <w:tcW w:w="722" w:type="pct"/>
            <w:noWrap w:val="0"/>
            <w:vAlign w:val="center"/>
          </w:tcPr>
          <w:p w14:paraId="3CB75E9A">
            <w:pPr>
              <w:spacing w:before="156" w:beforeLines="50" w:after="156" w:afterLines="50"/>
              <w:jc w:val="center"/>
              <w:rPr>
                <w:rFonts w:hint="eastAsia"/>
                <w:sz w:val="24"/>
              </w:rPr>
            </w:pPr>
            <w:r>
              <w:rPr>
                <w:rFonts w:hint="eastAsia"/>
                <w:sz w:val="24"/>
              </w:rPr>
              <w:t>授课学时</w:t>
            </w:r>
          </w:p>
        </w:tc>
        <w:tc>
          <w:tcPr>
            <w:tcW w:w="758" w:type="pct"/>
            <w:noWrap w:val="0"/>
            <w:vAlign w:val="center"/>
          </w:tcPr>
          <w:p>
            <w:pPr>
              <w:jc w:val="left"/>
            </w:pPr>
            <w:r>
              <w:t>2学时</w:t>
            </w:r>
          </w:p>
        </w:tc>
        <w:tc>
          <w:tcPr>
            <w:tcW w:w="739" w:type="pct"/>
            <w:noWrap w:val="0"/>
            <w:vAlign w:val="center"/>
          </w:tcPr>
          <w:p w14:paraId="3D7902E7">
            <w:pPr>
              <w:spacing w:before="156" w:beforeLines="50" w:after="156" w:afterLines="50"/>
              <w:jc w:val="center"/>
              <w:rPr>
                <w:rFonts w:hint="eastAsia"/>
                <w:sz w:val="24"/>
              </w:rPr>
            </w:pPr>
            <w:r>
              <w:rPr>
                <w:rFonts w:hint="eastAsia" w:ascii="宋体" w:hAnsi="宋体" w:cs="宋体"/>
                <w:spacing w:val="8"/>
              </w:rPr>
              <w:t>授</w:t>
            </w:r>
            <w:r>
              <w:rPr>
                <w:rFonts w:hint="eastAsia" w:ascii="宋体" w:hAnsi="宋体" w:cs="宋体"/>
                <w:spacing w:val="6"/>
              </w:rPr>
              <w:t>课类型</w:t>
            </w:r>
          </w:p>
        </w:tc>
        <w:tc>
          <w:tcPr>
            <w:tcW w:w="1295" w:type="pct"/>
            <w:noWrap w:val="0"/>
            <w:vAlign w:val="center"/>
          </w:tcPr>
          <w:p>
            <w:pPr>
              <w:jc w:val="left"/>
            </w:pPr>
            <w:r>
              <w:rPr>
                <w:rFonts w:ascii="宋体" w:hAnsi="宋体"/>
              </w:rPr>
              <w:t>理论课</w:t>
            </w:r>
          </w:p>
        </w:tc>
      </w:tr>
      <w:tr w14:paraId="076EB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81" w:hRule="atLeast"/>
        </w:trPr>
        <w:tc>
          <w:tcPr>
            <w:tcW w:w="834" w:type="pct"/>
            <w:noWrap w:val="0"/>
            <w:vAlign w:val="center"/>
          </w:tcPr>
          <w:p w14:paraId="0BC5AD97">
            <w:pPr>
              <w:spacing w:before="156" w:beforeLines="50" w:after="156" w:afterLines="50" w:line="320" w:lineRule="exact"/>
              <w:jc w:val="center"/>
              <w:rPr>
                <w:rFonts w:hint="eastAsia"/>
                <w:sz w:val="24"/>
              </w:rPr>
            </w:pPr>
            <w:r>
              <w:rPr>
                <w:rFonts w:hint="eastAsia" w:ascii="宋体" w:hAnsi="宋体" w:cs="宋体"/>
                <w:spacing w:val="4"/>
              </w:rPr>
              <w:t>教学内容及学情分析</w:t>
            </w:r>
          </w:p>
        </w:tc>
        <w:tc>
          <w:tcPr>
            <w:tcW w:w="4165" w:type="pct"/>
            <w:gridSpan w:val="5"/>
            <w:noWrap w:val="0"/>
            <w:vAlign w:val="center"/>
          </w:tcPr>
          <w:p>
            <w:pPr>
              <w:jc w:val="left"/>
            </w:pPr>
            <w:r>
              <w:t>【教学内容】</w:t>
              <w:br/>
              <w:t>本节课是《电子焊接》课程的基础模块，课题为《电子元器件认识》。主要内容包括：1. 常用电子元器件（电阻、电容、电感、二极管、三极管、集成电路等）的实物识别、图形符号、文字标识及主要参数（如阻值、容值、耐压、极性）。2. 元器件在电路中的作用及选型原则。3. 使用万用表等工具进行元器件好坏判别与参数测量的基本方法。4. 元器件识读与检测的安全操作规范。课程旨在为学生后续的电路识图、焊接装配与调试打下坚实的认知基础。</w:t>
              <w:br/>
              <w:t>【学情分析】</w:t>
              <w:br/>
              <w:t>授课对象为电气自动化专业学生，已具备一定的电学基础知识，但对具体的电子元器件实物认知较为模糊，缺乏系统性的识别与检测经验。学生学习兴趣较高，动手意愿强，但可能对元器件的种类繁多、参数复杂感到畏难。在操作中，容易混淆相似元器件（如电解电容与钽电容），对色环电阻的读数、二极管极性判断等细节操作可能出现错误。需要教师通过实物展示、对比讲解和手把手指导来化解难点。</w:t>
            </w:r>
          </w:p>
        </w:tc>
      </w:tr>
      <w:tr w14:paraId="7AA8C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1" w:hRule="atLeast"/>
        </w:trPr>
        <w:tc>
          <w:tcPr>
            <w:tcW w:w="1474" w:type="dxa"/>
            <w:noWrap w:val="0"/>
            <w:vAlign w:val="center"/>
          </w:tcPr>
          <w:p w14:paraId="09F71C7E">
            <w:pPr>
              <w:jc w:val="center"/>
              <w:rPr>
                <w:rFonts w:hint="eastAsia"/>
                <w:sz w:val="24"/>
              </w:rPr>
            </w:pPr>
            <w:r>
              <w:rPr>
                <w:rFonts w:hint="eastAsia" w:ascii="宋体" w:hAnsi="宋体" w:cs="宋体"/>
                <w:spacing w:val="7"/>
              </w:rPr>
              <w:t>教学目</w:t>
            </w:r>
            <w:r>
              <w:rPr>
                <w:rFonts w:hint="eastAsia" w:ascii="宋体" w:hAnsi="宋体" w:cs="宋体"/>
                <w:spacing w:val="6"/>
              </w:rPr>
              <w:t>标</w:t>
            </w:r>
          </w:p>
        </w:tc>
        <w:tc>
          <w:tcPr>
            <w:tcW w:w="7361" w:type="dxa"/>
            <w:gridSpan w:val="5"/>
            <w:noWrap w:val="0"/>
            <w:vAlign w:val="center"/>
          </w:tcPr>
          <w:p>
            <w:pPr>
              <w:jc w:val="left"/>
            </w:pPr>
            <w:r>
              <w:t>1. 知识目标：掌握电阻、电容、二极管、三极管等常用电子元器件的图形符号、文字标识及主要参数含义；理解各类元器件在电路中的基本功能与选型依据。</w:t>
              <w:br/>
              <w:t>2. 能力目标：能独立、正确地从元器件堆中识别并分类出指定类型的元器件；能使用万用表对电阻阻值、二极管极性及好坏、三极管类型及引脚进行基本检测与判断。</w:t>
              <w:br/>
              <w:t>3. 素质目标：培养严谨细致、一丝不苟的工匠精神和规范操作意识；树立质量第一、安全至上的职业素养；增强通过掌握基础元器件知识服务国家电子信息产业发展的使命感。</w:t>
            </w:r>
          </w:p>
        </w:tc>
      </w:tr>
      <w:tr w14:paraId="161BF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1474" w:type="dxa"/>
            <w:noWrap w:val="0"/>
            <w:vAlign w:val="center"/>
          </w:tcPr>
          <w:p w14:paraId="56A85BD8">
            <w:pPr>
              <w:jc w:val="center"/>
              <w:rPr>
                <w:rFonts w:hint="eastAsia"/>
                <w:sz w:val="24"/>
              </w:rPr>
            </w:pPr>
            <w:r>
              <w:rPr>
                <w:rFonts w:hint="eastAsia" w:ascii="宋体" w:hAnsi="宋体" w:cs="宋体"/>
                <w:spacing w:val="7"/>
              </w:rPr>
              <w:t>教学重</w:t>
            </w:r>
            <w:r>
              <w:rPr>
                <w:rFonts w:hint="eastAsia" w:ascii="宋体" w:hAnsi="宋体" w:cs="宋体"/>
                <w:spacing w:val="6"/>
              </w:rPr>
              <w:t>点</w:t>
            </w:r>
          </w:p>
        </w:tc>
        <w:tc>
          <w:tcPr>
            <w:tcW w:w="4165" w:type="pct"/>
            <w:gridSpan w:val="5"/>
            <w:noWrap w:val="0"/>
            <w:vAlign w:val="center"/>
          </w:tcPr>
          <w:p>
            <w:pPr>
              <w:jc w:val="left"/>
            </w:pPr>
            <w:r>
              <w:t>1. 重点1：常用电子元器件（电阻、电容、二极管、三极管）的实物识别、图形符号与主要参数识读</w:t>
              <w:br/>
              <w:t>2. 重点2：使用万用表进行元器件极性判断、好坏检测及基本参数测量的规范操作步骤</w:t>
              <w:br/>
              <w:t>3. 重点3：元器件识别与检测过程中的静电防护、仪器使用等安全操作规范</w:t>
            </w:r>
          </w:p>
        </w:tc>
      </w:tr>
      <w:tr w14:paraId="3825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8" w:hRule="atLeast"/>
        </w:trPr>
        <w:tc>
          <w:tcPr>
            <w:tcW w:w="1474" w:type="dxa"/>
            <w:noWrap w:val="0"/>
            <w:vAlign w:val="center"/>
          </w:tcPr>
          <w:p w14:paraId="5A73D64C">
            <w:pPr>
              <w:jc w:val="center"/>
              <w:rPr>
                <w:rFonts w:hint="eastAsia"/>
                <w:sz w:val="24"/>
              </w:rPr>
            </w:pPr>
            <w:r>
              <w:rPr>
                <w:rFonts w:hint="eastAsia" w:ascii="宋体" w:hAnsi="宋体" w:cs="宋体"/>
                <w:spacing w:val="7"/>
              </w:rPr>
              <w:t>教学难</w:t>
            </w:r>
            <w:r>
              <w:rPr>
                <w:rFonts w:hint="eastAsia" w:ascii="宋体" w:hAnsi="宋体" w:cs="宋体"/>
                <w:spacing w:val="6"/>
              </w:rPr>
              <w:t>点</w:t>
            </w:r>
          </w:p>
        </w:tc>
        <w:tc>
          <w:tcPr>
            <w:tcW w:w="4165" w:type="pct"/>
            <w:gridSpan w:val="5"/>
            <w:noWrap w:val="0"/>
            <w:vAlign w:val="center"/>
          </w:tcPr>
          <w:p>
            <w:pPr>
              <w:jc w:val="left"/>
            </w:pPr>
            <w:r>
              <w:t>1. 难点1：色环电阻的快速准确读值与精度识别，以及贴片元器件的小型化标识识读</w:t>
              <w:br/>
              <w:t>2. 难点2：利用万用表区分三极管的类型（NPN/PNP）并准确判断其发射极、基极、集电极三个引脚</w:t>
            </w:r>
          </w:p>
        </w:tc>
      </w:tr>
      <w:tr w14:paraId="7494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4" w:hRule="atLeast"/>
        </w:trPr>
        <w:tc>
          <w:tcPr>
            <w:tcW w:w="1474" w:type="dxa"/>
            <w:noWrap w:val="0"/>
            <w:vAlign w:val="center"/>
          </w:tcPr>
          <w:p w14:paraId="0687A3ED">
            <w:pPr>
              <w:jc w:val="center"/>
              <w:rPr>
                <w:sz w:val="24"/>
              </w:rPr>
            </w:pPr>
            <w:r>
              <w:rPr>
                <w:rFonts w:hint="eastAsia" w:ascii="宋体" w:hAnsi="宋体" w:cs="宋体"/>
                <w:spacing w:val="7"/>
              </w:rPr>
              <w:t>教学方法与教学资源</w:t>
            </w:r>
          </w:p>
        </w:tc>
        <w:tc>
          <w:tcPr>
            <w:tcW w:w="4165" w:type="pct"/>
            <w:gridSpan w:val="5"/>
            <w:noWrap w:val="0"/>
            <w:vAlign w:val="center"/>
          </w:tcPr>
          <w:p>
            <w:pPr>
              <w:jc w:val="left"/>
            </w:pPr>
            <w:r>
              <w:t>【教学方法】</w:t>
              <w:br/>
              <w:t>任务驱动法、实物演示法、分组探究法、讲练结合法</w:t>
              <w:br/>
              <w:t>【教学资源】</w:t>
              <w:br/>
              <w:t>1. 硬件资源：各类电子元器件实物样品包（含直插与贴片）、数字万用表、元器件展示板。2. 软件资源：多媒体课件（含元器件图片、符号、参数表）、微课视频（万用表使用、色环电阻读数）。3. 文本资源：元器件识别任务工单、检测记录表。</w:t>
            </w:r>
          </w:p>
        </w:tc>
      </w:tr>
      <w:tr w14:paraId="58D96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1" w:hRule="atLeast"/>
        </w:trPr>
        <w:tc>
          <w:tcPr>
            <w:tcW w:w="1474" w:type="dxa"/>
            <w:noWrap w:val="0"/>
            <w:vAlign w:val="center"/>
          </w:tcPr>
          <w:p w14:paraId="01DC87C6">
            <w:pPr>
              <w:jc w:val="center"/>
              <w:rPr>
                <w:rFonts w:hint="eastAsia"/>
                <w:sz w:val="24"/>
              </w:rPr>
            </w:pPr>
            <w:r>
              <w:rPr>
                <w:rFonts w:hint="eastAsia" w:ascii="宋体" w:hAnsi="宋体" w:cs="宋体"/>
                <w:spacing w:val="7"/>
              </w:rPr>
              <w:t>思政元素</w:t>
            </w:r>
          </w:p>
        </w:tc>
        <w:tc>
          <w:tcPr>
            <w:tcW w:w="4165" w:type="pct"/>
            <w:gridSpan w:val="5"/>
            <w:noWrap w:val="0"/>
            <w:vAlign w:val="center"/>
          </w:tcPr>
          <w:p>
            <w:pPr>
              <w:jc w:val="left"/>
            </w:pPr>
            <w:r>
              <w:t>1. 思政点1：通过介绍我国在基础电子元器件领域从依赖进口到自主创新的发展历程，增强学生的民族自豪感和科技报国志向。</w:t>
              <w:br/>
              <w:t>2. 思政点2：强调元器件识别与检测的“毫厘之差，谬以千里”，引导学生树立精益求精、追求卓越的工匠精神。</w:t>
              <w:br/>
              <w:t>3. 思政点3：在小组合作完成识别与检测任务中，培养学生的团队协作意识和沟通能力。</w:t>
              <w:br/>
              <w:t>4. 思政点4：通过讲解静电对精密元器件的危害及防护措施，强化学生的安全规范意识和职业责任感。</w:t>
            </w:r>
          </w:p>
        </w:tc>
      </w:tr>
    </w:tbl>
    <w:p w14:paraId="7BD3B59A">
      <w:pPr>
        <w:rPr>
          <w:rFonts w:hint="eastAsia"/>
          <w:sz w:val="10"/>
        </w:rPr>
      </w:pPr>
    </w:p>
    <w:p w14:paraId="62EA29CF">
      <w:pPr>
        <w:rPr>
          <w:rFonts w:hint="eastAsia"/>
          <w:sz w:val="10"/>
        </w:rPr>
      </w:pPr>
    </w:p>
    <w:p w14:paraId="46A890A1">
      <w:pPr>
        <w:rPr>
          <w:rFonts w:hint="eastAsia"/>
          <w:sz w:val="10"/>
        </w:rPr>
      </w:pPr>
    </w:p>
    <w:p w14:paraId="33FF7DAE">
      <w:pPr>
        <w:rPr>
          <w:rFonts w:hint="eastAsia"/>
          <w:sz w:val="10"/>
        </w:rPr>
      </w:pPr>
    </w:p>
    <w:p w14:paraId="0B813D31">
      <w:pPr>
        <w:rPr>
          <w:rFonts w:hint="eastAsia"/>
          <w:sz w:val="10"/>
        </w:rPr>
      </w:pPr>
    </w:p>
    <w:tbl>
      <w:tblPr>
        <w:tblStyle w:val="4"/>
        <w:tblpPr w:leftFromText="181" w:rightFromText="181" w:vertAnchor="text" w:horzAnchor="page" w:tblpXSpec="center" w:tblpY="120"/>
        <w:tblOverlap w:val="never"/>
        <w:tblW w:w="891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Layout w:type="fixed"/>
        <w:tblCellMar>
          <w:top w:w="0" w:type="dxa"/>
          <w:left w:w="0" w:type="dxa"/>
          <w:bottom w:w="0" w:type="dxa"/>
          <w:right w:w="0" w:type="dxa"/>
        </w:tblCellMar>
      </w:tblPr>
      <w:tblGrid>
        <w:gridCol w:w="1314"/>
        <w:gridCol w:w="4832"/>
        <w:gridCol w:w="1555"/>
        <w:gridCol w:w="1217"/>
      </w:tblGrid>
      <w:tr w14:paraId="789244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457" w:hRule="atLeast"/>
          <w:jc w:val="center"/>
        </w:trPr>
        <w:tc>
          <w:tcPr>
            <w:tcW w:w="8918" w:type="dxa"/>
            <w:gridSpan w:val="4"/>
            <w:tcBorders>
              <w:top w:val="single" w:color="000000" w:sz="2" w:space="0"/>
              <w:bottom w:val="single" w:color="000000" w:sz="2" w:space="0"/>
            </w:tcBorders>
            <w:shd w:val="clear" w:color="auto" w:fill="FFFFFF"/>
            <w:noWrap w:val="0"/>
            <w:vAlign w:val="center"/>
          </w:tcPr>
          <w:p w14:paraId="773C77B7">
            <w:pPr>
              <w:jc w:val="center"/>
              <w:rPr>
                <w:rFonts w:ascii="黑体" w:hAnsi="黑体" w:eastAsia="黑体" w:cs="黑体"/>
                <w:spacing w:val="14"/>
                <w:sz w:val="28"/>
                <w:szCs w:val="28"/>
              </w:rPr>
            </w:pPr>
            <w:bookmarkStart w:id="0" w:name="_GoBack"/>
            <w:r>
              <w:rPr>
                <w:rFonts w:ascii="黑体" w:hAnsi="黑体" w:eastAsia="黑体" w:cs="黑体"/>
                <w:spacing w:val="14"/>
                <w:sz w:val="28"/>
                <w:szCs w:val="28"/>
              </w:rPr>
              <w:t>教</w:t>
            </w:r>
            <w:r>
              <w:rPr>
                <w:rFonts w:ascii="黑体" w:hAnsi="黑体" w:eastAsia="黑体" w:cs="黑体"/>
                <w:spacing w:val="7"/>
                <w:sz w:val="28"/>
                <w:szCs w:val="28"/>
              </w:rPr>
              <w:t xml:space="preserve"> 学 实 施 过 程</w:t>
            </w:r>
            <w:bookmarkEnd w:id="0"/>
          </w:p>
        </w:tc>
      </w:tr>
      <w:tr w14:paraId="05045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450" w:hRule="atLeast"/>
          <w:jc w:val="center"/>
        </w:trPr>
        <w:tc>
          <w:tcPr>
            <w:tcW w:w="1314" w:type="dxa"/>
            <w:tcBorders>
              <w:top w:val="single" w:color="000000" w:sz="2" w:space="0"/>
              <w:bottom w:val="single" w:color="000000" w:sz="2" w:space="0"/>
            </w:tcBorders>
            <w:shd w:val="clear" w:color="auto" w:fill="FFFFFF"/>
            <w:noWrap w:val="0"/>
            <w:vAlign w:val="center"/>
          </w:tcPr>
          <w:p w14:paraId="03289E6A">
            <w:pPr>
              <w:jc w:val="center"/>
              <w:rPr>
                <w:rFonts w:ascii="宋体" w:hAnsi="宋体" w:cs="宋体"/>
              </w:rPr>
            </w:pPr>
            <w:r>
              <w:rPr>
                <w:rFonts w:ascii="宋体" w:hAnsi="宋体" w:cs="宋体"/>
                <w:spacing w:val="9"/>
              </w:rPr>
              <w:t>教</w:t>
            </w:r>
            <w:r>
              <w:rPr>
                <w:rFonts w:ascii="宋体" w:hAnsi="宋体" w:cs="宋体"/>
                <w:spacing w:val="7"/>
              </w:rPr>
              <w:t>学环节</w:t>
            </w:r>
            <w:r>
              <w:rPr>
                <w:rFonts w:hint="eastAsia" w:ascii="宋体" w:hAnsi="宋体" w:cs="宋体"/>
                <w:spacing w:val="7"/>
              </w:rPr>
              <w:t>及时间分配</w:t>
            </w:r>
          </w:p>
        </w:tc>
        <w:tc>
          <w:tcPr>
            <w:tcW w:w="4832" w:type="dxa"/>
            <w:tcBorders>
              <w:top w:val="single" w:color="000000" w:sz="2" w:space="0"/>
              <w:bottom w:val="single" w:color="000000" w:sz="2" w:space="0"/>
            </w:tcBorders>
            <w:shd w:val="clear" w:color="auto" w:fill="FFFFFF"/>
            <w:noWrap w:val="0"/>
            <w:vAlign w:val="center"/>
          </w:tcPr>
          <w:p w14:paraId="6DE1A651">
            <w:pPr>
              <w:jc w:val="center"/>
              <w:rPr>
                <w:rFonts w:ascii="宋体" w:hAnsi="宋体" w:cs="宋体"/>
              </w:rPr>
            </w:pPr>
            <w:r>
              <w:rPr>
                <w:rFonts w:ascii="宋体" w:hAnsi="宋体" w:cs="宋体"/>
                <w:spacing w:val="9"/>
              </w:rPr>
              <w:t>教</w:t>
            </w:r>
            <w:r>
              <w:rPr>
                <w:rFonts w:ascii="宋体" w:hAnsi="宋体" w:cs="宋体"/>
                <w:spacing w:val="7"/>
              </w:rPr>
              <w:t>学内容</w:t>
            </w:r>
          </w:p>
        </w:tc>
        <w:tc>
          <w:tcPr>
            <w:tcW w:w="1555" w:type="dxa"/>
            <w:tcBorders>
              <w:top w:val="single" w:color="000000" w:sz="2" w:space="0"/>
              <w:bottom w:val="single" w:color="000000" w:sz="2" w:space="0"/>
            </w:tcBorders>
            <w:shd w:val="clear" w:color="auto" w:fill="FFFFFF"/>
            <w:noWrap w:val="0"/>
            <w:vAlign w:val="center"/>
          </w:tcPr>
          <w:p w14:paraId="25E73364">
            <w:pPr>
              <w:jc w:val="center"/>
              <w:rPr>
                <w:rFonts w:ascii="宋体" w:hAnsi="宋体" w:cs="宋体"/>
              </w:rPr>
            </w:pPr>
            <w:r>
              <w:rPr>
                <w:rFonts w:ascii="宋体" w:hAnsi="宋体" w:cs="宋体"/>
                <w:spacing w:val="9"/>
              </w:rPr>
              <w:t>教</w:t>
            </w:r>
            <w:r>
              <w:rPr>
                <w:rFonts w:ascii="宋体" w:hAnsi="宋体" w:cs="宋体"/>
                <w:spacing w:val="7"/>
              </w:rPr>
              <w:t>师活动</w:t>
            </w:r>
          </w:p>
        </w:tc>
        <w:tc>
          <w:tcPr>
            <w:tcW w:w="1217" w:type="dxa"/>
            <w:tcBorders>
              <w:top w:val="single" w:color="000000" w:sz="2" w:space="0"/>
              <w:bottom w:val="single" w:color="000000" w:sz="2" w:space="0"/>
            </w:tcBorders>
            <w:shd w:val="clear" w:color="auto" w:fill="FFFFFF"/>
            <w:noWrap w:val="0"/>
            <w:vAlign w:val="center"/>
          </w:tcPr>
          <w:p w14:paraId="44D6E46D">
            <w:pPr>
              <w:jc w:val="center"/>
              <w:rPr>
                <w:rFonts w:ascii="宋体" w:hAnsi="宋体" w:cs="宋体"/>
              </w:rPr>
            </w:pPr>
            <w:r>
              <w:rPr>
                <w:rFonts w:ascii="宋体" w:hAnsi="宋体" w:cs="宋体"/>
                <w:spacing w:val="7"/>
              </w:rPr>
              <w:t>学生活动</w:t>
            </w:r>
          </w:p>
        </w:tc>
      </w:tr>
      <w:tr>
        <w:tc>
          <w:tcPr>
            <w:tcW w:type="dxa" w:w="1314"/>
            <w:vAlign w:val="center"/>
          </w:tcPr>
          <w:p>
            <w:pPr>
              <w:jc w:val="left"/>
            </w:pPr>
            <w:r>
              <w:t>任务导入与情境创设（10min）</w:t>
            </w:r>
          </w:p>
        </w:tc>
        <w:tc>
          <w:tcPr>
            <w:tcW w:type="dxa" w:w="4832"/>
            <w:vAlign w:val="center"/>
          </w:tcPr>
          <w:p>
            <w:pPr>
              <w:jc w:val="left"/>
            </w:pPr>
            <w:r>
              <w:t>1. 展示一块功能完好的电路板（如单片机开发板）和一块因元器件损坏（如爆裂的电容、烧毁的电阻）而失效的电路板，进行对比。2. 提出问题：电路的核心由什么构成？如何确保我们焊接的电路板能正常工作？引出元器件正确识别与检测是电子焊接成功的第一步。3. 发布本节课核心任务：成为一名合格的“元器件检验员”，完成对给定元器件包的识别与检测。</w:t>
            </w:r>
          </w:p>
        </w:tc>
        <w:tc>
          <w:tcPr>
            <w:tcW w:type="dxa" w:w="1555"/>
            <w:vAlign w:val="center"/>
          </w:tcPr>
          <w:p>
            <w:pPr>
              <w:jc w:val="left"/>
            </w:pPr>
            <w:r>
              <w:t>展示实物，创设对比情境，提出问题，激发兴趣，明确任务目标。</w:t>
            </w:r>
          </w:p>
        </w:tc>
        <w:tc>
          <w:tcPr>
            <w:tcW w:type="dxa" w:w="1217"/>
            <w:vAlign w:val="center"/>
          </w:tcPr>
          <w:p>
            <w:pPr>
              <w:jc w:val="left"/>
            </w:pPr>
            <w:r>
              <w:t>观察对比，思考问题，明确本节课的学习任务与目标。</w:t>
            </w:r>
          </w:p>
        </w:tc>
      </w:tr>
      <w:tr>
        <w:tc>
          <w:tcPr>
            <w:tcW w:type="dxa" w:w="1314"/>
            <w:vAlign w:val="center"/>
          </w:tcPr>
          <w:p>
            <w:pPr>
              <w:jc w:val="left"/>
            </w:pPr>
            <w:r>
              <w:t>新知讲授与实物认知（25min）</w:t>
            </w:r>
          </w:p>
        </w:tc>
        <w:tc>
          <w:tcPr>
            <w:tcW w:type="dxa" w:w="4832"/>
            <w:vAlign w:val="center"/>
          </w:tcPr>
          <w:p>
            <w:pPr>
              <w:jc w:val="left"/>
            </w:pPr>
            <w:r>
              <w:t>1. 结合课件与实物，系统讲解电阻、电容、电感、二极管、三极管五大类元器件的核心知识：外形特征、电路图形符号、文字标识（如R、C、L、D、Q）、主要参数（阻值/容值/感值、功率/耐压、极性）。重点讲解色环电阻的读数方法和电解电容的极性标识。2. 介绍集成电路（IC）的基本外观与引脚识别。3. 强调元器件的保管与静电防护知识。</w:t>
            </w:r>
          </w:p>
        </w:tc>
        <w:tc>
          <w:tcPr>
            <w:tcW w:type="dxa" w:w="1555"/>
            <w:vAlign w:val="center"/>
          </w:tcPr>
          <w:p>
            <w:pPr>
              <w:jc w:val="left"/>
            </w:pPr>
            <w:r>
              <w:t>利用多媒体课件配合实物样品，进行系统讲解与演示。巡回展示实物，解答学生即时疑问。</w:t>
            </w:r>
          </w:p>
        </w:tc>
        <w:tc>
          <w:tcPr>
            <w:tcW w:type="dxa" w:w="1217"/>
            <w:vAlign w:val="center"/>
          </w:tcPr>
          <w:p>
            <w:pPr>
              <w:jc w:val="left"/>
            </w:pPr>
            <w:r>
              <w:t>听讲、观察、记录要点。对照下发的元器件样品包，跟随教师讲解进行初步辨认和分类。</w:t>
            </w:r>
          </w:p>
        </w:tc>
      </w:tr>
      <w:tr>
        <w:tc>
          <w:tcPr>
            <w:tcW w:type="dxa" w:w="1314"/>
            <w:vAlign w:val="center"/>
          </w:tcPr>
          <w:p>
            <w:pPr>
              <w:jc w:val="left"/>
            </w:pPr>
            <w:r>
              <w:t>技能示范与规范强调（20min）</w:t>
            </w:r>
          </w:p>
        </w:tc>
        <w:tc>
          <w:tcPr>
            <w:tcW w:type="dxa" w:w="4832"/>
            <w:vAlign w:val="center"/>
          </w:tcPr>
          <w:p>
            <w:pPr>
              <w:jc w:val="left"/>
            </w:pPr>
            <w:r>
              <w:t>1. 教师示范使用数字万用表： (1) 测量固定电阻阻值，并与色环读数对比验证。 (2) 判断二极管极性及好坏（正向导通，反向截止）。 (3) 判断三极管的类型（NPN/PNP）及引脚（发射极e、基极b、集电极c）。2. 强调操作规范：万用表档位选择、表笔插接、测量手势、读数方法，以及测量前的校零。3. 播放微课视频，强化色环电阻读数和万用表使用的关键步骤。</w:t>
            </w:r>
          </w:p>
        </w:tc>
        <w:tc>
          <w:tcPr>
            <w:tcW w:type="dxa" w:w="1555"/>
            <w:vAlign w:val="center"/>
          </w:tcPr>
          <w:p>
            <w:pPr>
              <w:jc w:val="left"/>
            </w:pPr>
            <w:r>
              <w:t>进行规范的操作示范，边操作边讲解要点与安全规范。播放辅助微课。</w:t>
            </w:r>
          </w:p>
        </w:tc>
        <w:tc>
          <w:tcPr>
            <w:tcW w:type="dxa" w:w="1217"/>
            <w:vAlign w:val="center"/>
          </w:tcPr>
          <w:p>
            <w:pPr>
              <w:jc w:val="left"/>
            </w:pPr>
            <w:r>
              <w:t>集中观看教师示范与微课，记录操作步骤与关键注意事项。</w:t>
            </w:r>
          </w:p>
        </w:tc>
      </w:tr>
      <w:tr>
        <w:tc>
          <w:tcPr>
            <w:tcW w:type="dxa" w:w="1314"/>
            <w:vAlign w:val="center"/>
          </w:tcPr>
          <w:p>
            <w:pPr>
              <w:jc w:val="left"/>
            </w:pPr>
            <w:r>
              <w:t>任务实践与分组探究（35min）</w:t>
            </w:r>
          </w:p>
        </w:tc>
        <w:tc>
          <w:tcPr>
            <w:tcW w:type="dxa" w:w="4832"/>
            <w:vAlign w:val="center"/>
          </w:tcPr>
          <w:p>
            <w:pPr>
              <w:jc w:val="left"/>
            </w:pPr>
            <w:r>
              <w:t>学生以小组为单位，完成《元器件识别与检测任务工单》。任务包括：1. 对样品包中的元器件进行分类和标识填写。2. 使用万用表测量指定电阻的阻值并记录。3. 检测指定二极管的极性及好坏并记录。4. 尝试判断指定三极管的类型及引脚。教师提供巡回指导，纠正错误操作，解答疑难。</w:t>
            </w:r>
          </w:p>
        </w:tc>
        <w:tc>
          <w:tcPr>
            <w:tcW w:type="dxa" w:w="1555"/>
            <w:vAlign w:val="center"/>
          </w:tcPr>
          <w:p>
            <w:pPr>
              <w:jc w:val="left"/>
            </w:pPr>
            <w:r>
              <w:t>发布任务工单，巡视各小组，进行个性化指导，纠正不规范操作，收集共性问题。</w:t>
            </w:r>
          </w:p>
        </w:tc>
        <w:tc>
          <w:tcPr>
            <w:tcW w:type="dxa" w:w="1217"/>
            <w:vAlign w:val="center"/>
          </w:tcPr>
          <w:p>
            <w:pPr>
              <w:jc w:val="left"/>
            </w:pPr>
            <w:r>
              <w:t>小组协作，按照任务工单要求，动手进行元器件的识别、分类与检测，记录数据，讨论遇到的问题。</w:t>
            </w:r>
          </w:p>
        </w:tc>
      </w:tr>
      <w:tr>
        <w:tc>
          <w:tcPr>
            <w:tcW w:type="dxa" w:w="1314"/>
            <w:vAlign w:val="center"/>
          </w:tcPr>
          <w:p>
            <w:pPr>
              <w:jc w:val="left"/>
            </w:pPr>
            <w:r>
              <w:t>成果展示与总结提升（15min）</w:t>
            </w:r>
          </w:p>
        </w:tc>
        <w:tc>
          <w:tcPr>
            <w:tcW w:type="dxa" w:w="4832"/>
            <w:vAlign w:val="center"/>
          </w:tcPr>
          <w:p>
            <w:pPr>
              <w:jc w:val="left"/>
            </w:pPr>
            <w:r>
              <w:t>1. 邀请1-2个小组展示其任务工单完成情况，分享在识别或检测中遇到的典型问题及解决方法。2. 教师针对巡视中发现的共性问题（如色环读错、万用表使用不当）进行集中点评与纠正。3. 教师总结本节课的知识与技能要点，再次强调规范操作与工匠精神的重要性。4. 布置课外作业。</w:t>
            </w:r>
          </w:p>
        </w:tc>
        <w:tc>
          <w:tcPr>
            <w:tcW w:type="dxa" w:w="1555"/>
            <w:vAlign w:val="center"/>
          </w:tcPr>
          <w:p>
            <w:pPr>
              <w:jc w:val="left"/>
            </w:pPr>
            <w:r>
              <w:t>组织小组展示与分享，进行总结性点评与知识梳理，布置作业。</w:t>
            </w:r>
          </w:p>
        </w:tc>
        <w:tc>
          <w:tcPr>
            <w:tcW w:type="dxa" w:w="1217"/>
            <w:vAlign w:val="center"/>
          </w:tcPr>
          <w:p>
            <w:pPr>
              <w:jc w:val="left"/>
            </w:pPr>
            <w:r>
              <w:t>小组代表展示与分享，聆听教师总结，查漏补缺，完成知识内化。</w:t>
            </w:r>
          </w:p>
        </w:tc>
      </w:tr>
      <w:tr w14:paraId="665CA7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1206" w:hRule="atLeast"/>
          <w:jc w:val="center"/>
        </w:trPr>
        <w:tc>
          <w:tcPr>
            <w:tcW w:w="1314" w:type="dxa"/>
            <w:tcBorders>
              <w:top w:val="single" w:color="000000" w:sz="2" w:space="0"/>
              <w:bottom w:val="single" w:color="000000" w:sz="2" w:space="0"/>
            </w:tcBorders>
            <w:shd w:val="clear" w:color="auto" w:fill="FFFFFF"/>
            <w:noWrap w:val="0"/>
            <w:vAlign w:val="center"/>
          </w:tcPr>
          <w:p w14:paraId="75C3D506">
            <w:pPr>
              <w:jc w:val="center"/>
              <w:rPr>
                <w:rFonts w:ascii="宋体" w:hAnsi="宋体" w:cs="宋体"/>
                <w:spacing w:val="7"/>
              </w:rPr>
            </w:pPr>
            <w:r>
              <w:rPr>
                <w:rFonts w:hint="eastAsia" w:ascii="宋体" w:hAnsi="宋体" w:cs="宋体"/>
                <w:spacing w:val="7"/>
              </w:rPr>
              <w:t>课外作业</w:t>
            </w:r>
          </w:p>
        </w:tc>
        <w:tc>
          <w:tcPr>
            <w:tcW w:w="7604" w:type="dxa"/>
            <w:gridSpan w:val="3"/>
            <w:tcBorders>
              <w:top w:val="single" w:color="000000" w:sz="2" w:space="0"/>
              <w:bottom w:val="single" w:color="000000" w:sz="2" w:space="0"/>
            </w:tcBorders>
            <w:shd w:val="clear" w:color="auto" w:fill="FFFFFF"/>
            <w:noWrap w:val="0"/>
            <w:vAlign w:val="center"/>
          </w:tcPr>
          <w:p>
            <w:pPr>
              <w:jc w:val="left"/>
            </w:pPr>
            <w:r>
              <w:t>1. 基础题：1. 整理课堂笔记，绘制包含电阻、电容、二极管、三极管图形符号、文字标识及关键参数的表格。2. 完成课后习题：给出5个色环电阻的色环，计算其阻值与误差范围。</w:t>
              <w:br/>
              <w:t>2. 提升题：寻找一个家用电器（如旧收音机、充电器）的电路板，尝试识别其上至少10个不同类型的电子元器件，并记录其外观特征与标识。</w:t>
              <w:br/>
              <w:t>3. 预习：预习下节课《手工焊接工具与材料》内容，了解电烙铁、焊锡丝、助焊剂的种类与使用注意事项。</w:t>
            </w:r>
          </w:p>
        </w:tc>
      </w:tr>
      <w:tr w14:paraId="010FDB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896" w:hRule="atLeast"/>
          <w:jc w:val="center"/>
        </w:trPr>
        <w:tc>
          <w:tcPr>
            <w:tcW w:w="1314" w:type="dxa"/>
            <w:tcBorders>
              <w:top w:val="single" w:color="000000" w:sz="2" w:space="0"/>
              <w:bottom w:val="single" w:color="000000" w:sz="2" w:space="0"/>
            </w:tcBorders>
            <w:shd w:val="clear" w:color="auto" w:fill="FFFFFF"/>
            <w:noWrap w:val="0"/>
            <w:vAlign w:val="center"/>
          </w:tcPr>
          <w:p w14:paraId="47451096">
            <w:pPr>
              <w:jc w:val="center"/>
              <w:rPr>
                <w:rFonts w:ascii="宋体" w:hAnsi="宋体" w:cs="宋体"/>
                <w:spacing w:val="7"/>
              </w:rPr>
            </w:pPr>
            <w:r>
              <w:rPr>
                <w:rFonts w:hint="eastAsia" w:ascii="宋体" w:hAnsi="宋体" w:cs="宋体"/>
                <w:spacing w:val="7"/>
              </w:rPr>
              <w:t>教学反思</w:t>
            </w:r>
          </w:p>
        </w:tc>
        <w:tc>
          <w:tcPr>
            <w:tcW w:w="7604" w:type="dxa"/>
            <w:gridSpan w:val="3"/>
            <w:tcBorders>
              <w:top w:val="single" w:color="000000" w:sz="2" w:space="0"/>
              <w:bottom w:val="single" w:color="000000" w:sz="2" w:space="0"/>
            </w:tcBorders>
            <w:shd w:val="clear" w:color="auto" w:fill="FFFFFF"/>
            <w:noWrap w:val="0"/>
            <w:vAlign w:val="center"/>
          </w:tcPr>
          <w:p>
            <w:pPr>
              <w:jc w:val="left"/>
            </w:pPr>
            <w:r/>
          </w:p>
        </w:tc>
      </w:tr>
    </w:tbl>
    <w:p w14:paraId="353579FE">
      <w:pPr>
        <w:jc w:val="left"/>
        <w:rPr>
          <w:rFonts w:hint="eastAsia"/>
          <w:sz w:val="10"/>
        </w:rPr>
      </w:pPr>
    </w:p>
    <w:sectPr>
      <w:pgSz w:w="11907" w:h="16840"/>
      <w:pgMar w:top="1304" w:right="1134" w:bottom="1247" w:left="1701"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altName w:val="仿宋"/>
    <w:panose1 w:val="00000000000000000000"/>
    <w:charset w:val="00"/>
    <w:family w:val="auto"/>
    <w:pitch w:val="default"/>
    <w:sig w:usb0="00000000" w:usb1="00000000" w:usb2="00000000" w:usb3="00000000" w:csb0="00040001"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g1MTM5OWNkZTVjMjY2ZGEyNjhjMmNmNDA4NDBhZjQifQ=="/>
  </w:docVars>
  <w:rsids>
    <w:rsidRoot w:val="00E72E06"/>
    <w:rsid w:val="00074944"/>
    <w:rsid w:val="000A0417"/>
    <w:rsid w:val="000C01FE"/>
    <w:rsid w:val="000D300E"/>
    <w:rsid w:val="000E32B8"/>
    <w:rsid w:val="0011732B"/>
    <w:rsid w:val="001E2870"/>
    <w:rsid w:val="0021194F"/>
    <w:rsid w:val="00211D8D"/>
    <w:rsid w:val="00216FA2"/>
    <w:rsid w:val="002733F5"/>
    <w:rsid w:val="00290225"/>
    <w:rsid w:val="002A474E"/>
    <w:rsid w:val="002E24E0"/>
    <w:rsid w:val="00345C68"/>
    <w:rsid w:val="0034739E"/>
    <w:rsid w:val="0036799A"/>
    <w:rsid w:val="00403D23"/>
    <w:rsid w:val="004041F9"/>
    <w:rsid w:val="004300FA"/>
    <w:rsid w:val="00437223"/>
    <w:rsid w:val="00452746"/>
    <w:rsid w:val="0046593D"/>
    <w:rsid w:val="004667BD"/>
    <w:rsid w:val="004770BF"/>
    <w:rsid w:val="004B4670"/>
    <w:rsid w:val="004C2778"/>
    <w:rsid w:val="0052105E"/>
    <w:rsid w:val="0053081C"/>
    <w:rsid w:val="005A4016"/>
    <w:rsid w:val="005D4583"/>
    <w:rsid w:val="00620F36"/>
    <w:rsid w:val="006264AA"/>
    <w:rsid w:val="00691C48"/>
    <w:rsid w:val="006A4F73"/>
    <w:rsid w:val="006C2A23"/>
    <w:rsid w:val="006D103F"/>
    <w:rsid w:val="006E6C24"/>
    <w:rsid w:val="006E6CC9"/>
    <w:rsid w:val="00736D03"/>
    <w:rsid w:val="00765D99"/>
    <w:rsid w:val="00773524"/>
    <w:rsid w:val="0079385E"/>
    <w:rsid w:val="007A434B"/>
    <w:rsid w:val="007A7E07"/>
    <w:rsid w:val="007C0AB8"/>
    <w:rsid w:val="007C5152"/>
    <w:rsid w:val="007D4165"/>
    <w:rsid w:val="007D4EAF"/>
    <w:rsid w:val="00826708"/>
    <w:rsid w:val="00836708"/>
    <w:rsid w:val="008517D3"/>
    <w:rsid w:val="009002FF"/>
    <w:rsid w:val="00906531"/>
    <w:rsid w:val="00923115"/>
    <w:rsid w:val="00925998"/>
    <w:rsid w:val="00992A1A"/>
    <w:rsid w:val="009C24E8"/>
    <w:rsid w:val="009D6571"/>
    <w:rsid w:val="009E1985"/>
    <w:rsid w:val="00AD7F22"/>
    <w:rsid w:val="00B03980"/>
    <w:rsid w:val="00B26B28"/>
    <w:rsid w:val="00B3110D"/>
    <w:rsid w:val="00B4102A"/>
    <w:rsid w:val="00B654FA"/>
    <w:rsid w:val="00B67989"/>
    <w:rsid w:val="00B7380A"/>
    <w:rsid w:val="00BA13B6"/>
    <w:rsid w:val="00BB320E"/>
    <w:rsid w:val="00BF2593"/>
    <w:rsid w:val="00BF6032"/>
    <w:rsid w:val="00C01AE8"/>
    <w:rsid w:val="00C10250"/>
    <w:rsid w:val="00C14611"/>
    <w:rsid w:val="00C30851"/>
    <w:rsid w:val="00C379CB"/>
    <w:rsid w:val="00C41FF5"/>
    <w:rsid w:val="00C60D77"/>
    <w:rsid w:val="00CE3AA2"/>
    <w:rsid w:val="00CE744B"/>
    <w:rsid w:val="00CF42A8"/>
    <w:rsid w:val="00D5791B"/>
    <w:rsid w:val="00D96390"/>
    <w:rsid w:val="00DF6BD8"/>
    <w:rsid w:val="00E00565"/>
    <w:rsid w:val="00E408DE"/>
    <w:rsid w:val="00E72E06"/>
    <w:rsid w:val="00E73AD6"/>
    <w:rsid w:val="00EA3267"/>
    <w:rsid w:val="00EA66B0"/>
    <w:rsid w:val="00ED45FC"/>
    <w:rsid w:val="00ED7E40"/>
    <w:rsid w:val="00F4521A"/>
    <w:rsid w:val="00FC2260"/>
    <w:rsid w:val="00FE58EE"/>
    <w:rsid w:val="00FF4058"/>
    <w:rsid w:val="10776A03"/>
    <w:rsid w:val="167354E7"/>
    <w:rsid w:val="1F6941A8"/>
    <w:rsid w:val="3B6505B6"/>
    <w:rsid w:val="51EB286F"/>
    <w:rsid w:val="6762319D"/>
    <w:rsid w:val="761A7D0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6">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7"/>
    <w:uiPriority w:val="0"/>
    <w:pPr>
      <w:tabs>
        <w:tab w:val="center" w:pos="4153"/>
        <w:tab w:val="right" w:pos="8306"/>
      </w:tabs>
      <w:snapToGrid w:val="0"/>
      <w:jc w:val="left"/>
    </w:pPr>
    <w:rPr>
      <w:sz w:val="18"/>
      <w:szCs w:val="18"/>
    </w:rPr>
  </w:style>
  <w:style w:type="paragraph" w:styleId="3">
    <w:name w:val="header"/>
    <w:basedOn w:val="1"/>
    <w:link w:val="8"/>
    <w:uiPriority w:val="0"/>
    <w:pPr>
      <w:pBdr>
        <w:bottom w:val="single" w:color="auto" w:sz="6" w:space="1"/>
      </w:pBdr>
      <w:tabs>
        <w:tab w:val="center" w:pos="4153"/>
        <w:tab w:val="right" w:pos="8306"/>
      </w:tabs>
      <w:snapToGrid w:val="0"/>
      <w:jc w:val="center"/>
    </w:pPr>
    <w:rPr>
      <w:sz w:val="18"/>
      <w:szCs w:val="18"/>
    </w:rPr>
  </w:style>
  <w:style w:type="table" w:styleId="5">
    <w:name w:val="Table Grid"/>
    <w:basedOn w:val="4"/>
    <w:uiPriority w:val="0"/>
    <w:pPr>
      <w:widowControl w:val="0"/>
      <w:jc w:val="both"/>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页脚 字符"/>
    <w:link w:val="2"/>
    <w:uiPriority w:val="0"/>
    <w:rPr>
      <w:kern w:val="2"/>
      <w:sz w:val="18"/>
      <w:szCs w:val="18"/>
    </w:rPr>
  </w:style>
  <w:style w:type="character" w:customStyle="1" w:styleId="8">
    <w:name w:val="页眉 字符"/>
    <w:link w:val="3"/>
    <w:uiPriority w:val="0"/>
    <w:rPr>
      <w:kern w:val="2"/>
      <w:sz w:val="18"/>
      <w:szCs w:val="18"/>
    </w:rPr>
  </w:style>
  <w:style w:type="table" w:customStyle="1" w:styleId="9">
    <w:name w:val="Table Normal"/>
    <w:unhideWhenUsed/>
    <w:qFormat/>
    <w:uiPriority w:val="0"/>
    <w:rPr>
      <w:lang w:val="en-US" w:eastAsia="zh-CN" w:bidi="ar-SA"/>
    </w:rPr>
    <w:tblPr>
      <w:tblStyle w:val="4"/>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2ndSpAcE</Company>
  <Pages>3</Pages>
  <Words>193</Words>
  <Characters>199</Characters>
  <Lines>7</Lines>
  <Paragraphs>1</Paragraphs>
  <TotalTime>21</TotalTime>
  <ScaleCrop>false</ScaleCrop>
  <LinksUpToDate>false</LinksUpToDate>
  <CharactersWithSpaces>400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2025-09-20T04:26:00Z</dcterms:created>
  <dc:creator>Image</dc:creator>
  <cp:lastModifiedBy>徐洁</cp:lastModifiedBy>
  <cp:lastPrinted>2005-06-05T04:53:00Z</cp:lastPrinted>
  <dcterms:modified xsi:type="dcterms:W3CDTF">2026-02-11T16:10:55Z</dcterms:modified>
  <dc:title>附表八</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BF15433B81A6410B8FC440CA569579A8_13</vt:lpwstr>
  </property>
  <property fmtid="{D5CDD505-2E9C-101B-9397-08002B2CF9AE}" pid="4" name="KSOTemplateDocerSaveRecord">
    <vt:lpwstr>eyJoZGlkIjoiOTc3M2Y5NzIzMDFlZjAyY2Q4Njk5ODkyYjFjNzBiNTQiLCJ1c2VySWQiOiIxNjYxNTQwNjczIn0=</vt:lpwstr>
  </property>
</Properties>
</file>