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F3DF2E">
      <w:pPr>
        <w:rPr>
          <w:rFonts w:hint="eastAsia" w:eastAsia="仿宋_GB2312"/>
          <w:b/>
          <w:bCs/>
          <w:sz w:val="28"/>
        </w:rPr>
      </w:pPr>
    </w:p>
    <w:p w14:paraId="2B387E5C">
      <w:pPr>
        <w:rPr>
          <w:rFonts w:hint="eastAsia" w:eastAsia="仿宋_GB2312"/>
          <w:b/>
          <w:bCs/>
          <w:sz w:val="28"/>
        </w:rPr>
      </w:pPr>
    </w:p>
    <w:p w14:paraId="118B726E">
      <w:pPr>
        <w:spacing w:line="360" w:lineRule="auto"/>
        <w:jc w:val="center"/>
        <w:rPr>
          <w:rFonts w:hint="eastAsia"/>
          <w:b/>
          <w:bCs/>
          <w:sz w:val="44"/>
          <w:szCs w:val="44"/>
        </w:rPr>
      </w:pPr>
      <w:r>
        <w:rPr>
          <w:rFonts w:hint="eastAsia"/>
          <w:b/>
          <w:bCs/>
          <w:sz w:val="44"/>
          <w:szCs w:val="44"/>
        </w:rPr>
        <w:t>江苏联合职业技术学院相城中专办学点</w:t>
      </w:r>
    </w:p>
    <w:p w14:paraId="6BED630F">
      <w:pPr>
        <w:jc w:val="center"/>
        <w:rPr>
          <w:rFonts w:hint="eastAsia" w:eastAsia="仿宋_GB2312"/>
          <w:b/>
          <w:bCs/>
          <w:spacing w:val="30"/>
          <w:sz w:val="36"/>
        </w:rPr>
      </w:pPr>
    </w:p>
    <w:p w14:paraId="3A190DE0">
      <w:pPr>
        <w:widowControl/>
        <w:kinsoku w:val="0"/>
        <w:autoSpaceDE w:val="0"/>
        <w:autoSpaceDN w:val="0"/>
        <w:adjustRightInd w:val="0"/>
        <w:snapToGrid w:val="0"/>
        <w:jc w:val="center"/>
        <w:textAlignment w:val="baseline"/>
        <w:rPr>
          <w:rFonts w:hint="eastAsia" w:ascii="黑体" w:hAnsi="黑体" w:eastAsia="黑体" w:cs="黑体"/>
          <w:b/>
          <w:bCs/>
          <w:snapToGrid w:val="0"/>
          <w:color w:val="000000"/>
          <w:kern w:val="0"/>
          <w:sz w:val="56"/>
          <w:szCs w:val="56"/>
        </w:rPr>
      </w:pPr>
      <w:r>
        <w:rPr>
          <w:rFonts w:hint="eastAsia" w:ascii="黑体" w:hAnsi="黑体" w:eastAsia="黑体" w:cs="黑体"/>
          <w:b/>
          <w:bCs/>
          <w:snapToGrid w:val="0"/>
          <w:color w:val="000000"/>
          <w:kern w:val="0"/>
          <w:sz w:val="56"/>
          <w:szCs w:val="56"/>
        </w:rPr>
        <w:t>教 师 教 案 本</w:t>
      </w:r>
    </w:p>
    <w:p w14:paraId="16B76C8F">
      <w:pPr>
        <w:jc w:val="center"/>
        <w:rPr>
          <w:rFonts w:hint="eastAsia" w:eastAsia="仿宋_GB2312"/>
          <w:b/>
          <w:bCs/>
          <w:sz w:val="52"/>
        </w:rPr>
      </w:pPr>
    </w:p>
    <w:p w14:paraId="15DAE808">
      <w:pPr>
        <w:spacing w:line="360" w:lineRule="auto"/>
        <w:jc w:val="center"/>
        <w:rPr>
          <w:rFonts w:hint="eastAsia"/>
          <w:sz w:val="28"/>
        </w:rPr>
      </w:pPr>
    </w:p>
    <w:p w14:paraId="64390D01">
      <w:pPr>
        <w:rPr>
          <w:rFonts w:hint="eastAsia" w:ascii="宋体" w:hAnsi="宋体"/>
          <w:sz w:val="28"/>
        </w:rPr>
      </w:pPr>
    </w:p>
    <w:p w14:paraId="5878C7BD">
      <w:pPr>
        <w:jc w:val="center"/>
        <w:rPr>
          <w:rFonts w:hint="eastAsia" w:ascii="宋体" w:hAnsi="宋体"/>
          <w:b/>
          <w:sz w:val="32"/>
        </w:rPr>
      </w:pPr>
      <w:r>
        <w:rPr>
          <w:rFonts w:hint="eastAsia" w:ascii="宋体" w:hAnsi="宋体"/>
          <w:b/>
          <w:sz w:val="32"/>
        </w:rPr>
        <w:t>（20  — 20  学年   第</w:t>
      </w:r>
      <w:r>
        <w:rPr>
          <w:rFonts w:hint="eastAsia" w:ascii="宋体" w:hAnsi="宋体"/>
          <w:b/>
          <w:sz w:val="32"/>
          <w:u w:val="single"/>
        </w:rPr>
        <w:t xml:space="preserve">    </w:t>
      </w:r>
      <w:r>
        <w:rPr>
          <w:rFonts w:hint="eastAsia" w:ascii="宋体" w:hAnsi="宋体"/>
          <w:b/>
          <w:sz w:val="32"/>
        </w:rPr>
        <w:t>学期）</w:t>
      </w:r>
    </w:p>
    <w:p w14:paraId="39E91017">
      <w:pPr>
        <w:jc w:val="center"/>
        <w:rPr>
          <w:rFonts w:hint="eastAsia" w:ascii="宋体" w:hAnsi="宋体"/>
          <w:b/>
          <w:sz w:val="32"/>
        </w:rPr>
      </w:pPr>
    </w:p>
    <w:p w14:paraId="505C9F7E">
      <w:pPr>
        <w:jc w:val="center"/>
        <w:rPr>
          <w:rFonts w:hint="eastAsia" w:ascii="宋体" w:hAnsi="宋体"/>
          <w:sz w:val="32"/>
        </w:rPr>
      </w:pPr>
    </w:p>
    <w:p w14:paraId="5518E3F8">
      <w:pPr>
        <w:jc w:val="center"/>
        <w:rPr>
          <w:rFonts w:hint="eastAsia" w:ascii="宋体" w:hAnsi="宋体"/>
          <w:sz w:val="32"/>
        </w:rPr>
      </w:pPr>
    </w:p>
    <w:tbl>
      <w:tblPr>
        <w:tblStyle w:val="4"/>
        <w:tblW w:w="0" w:type="auto"/>
        <w:tblInd w:w="0" w:type="dxa"/>
        <w:tblLayout w:type="autofit"/>
        <w:tblCellMar>
          <w:top w:w="0" w:type="dxa"/>
          <w:left w:w="108" w:type="dxa"/>
          <w:bottom w:w="0" w:type="dxa"/>
          <w:right w:w="108" w:type="dxa"/>
        </w:tblCellMar>
      </w:tblPr>
      <w:tblGrid>
        <w:gridCol w:w="2687"/>
        <w:gridCol w:w="5835"/>
      </w:tblGrid>
      <w:tr w14:paraId="2FC7FFFF">
        <w:tblPrEx>
          <w:tblCellMar>
            <w:top w:w="0" w:type="dxa"/>
            <w:left w:w="108" w:type="dxa"/>
            <w:bottom w:w="0" w:type="dxa"/>
            <w:right w:w="108" w:type="dxa"/>
          </w:tblCellMar>
        </w:tblPrEx>
        <w:trPr>
          <w:trHeight w:val="816" w:hRule="atLeast"/>
        </w:trPr>
        <w:tc>
          <w:tcPr>
            <w:tcW w:w="2687" w:type="dxa"/>
            <w:noWrap w:val="0"/>
            <w:vAlign w:val="center"/>
          </w:tcPr>
          <w:p w14:paraId="6F1846C8">
            <w:pPr>
              <w:jc w:val="right"/>
              <w:rPr>
                <w:sz w:val="32"/>
                <w:szCs w:val="32"/>
              </w:rPr>
            </w:pPr>
            <w:r>
              <w:rPr>
                <w:rFonts w:hint="eastAsia"/>
                <w:sz w:val="32"/>
                <w:szCs w:val="32"/>
              </w:rPr>
              <w:t>院    系</w:t>
            </w:r>
          </w:p>
        </w:tc>
        <w:tc>
          <w:tcPr>
            <w:tcW w:w="5835" w:type="dxa"/>
            <w:noWrap w:val="0"/>
            <w:vAlign w:val="center"/>
          </w:tcPr>
          <w:p w14:paraId="68156924">
            <w:pPr>
              <w:rPr>
                <w:sz w:val="32"/>
                <w:szCs w:val="32"/>
              </w:rPr>
            </w:pPr>
            <w:r>
              <w:rPr>
                <w:rFonts w:hint="eastAsia"/>
                <w:sz w:val="32"/>
                <w:szCs w:val="32"/>
                <w:u w:val="single"/>
              </w:rPr>
              <w:t xml:space="preserve">                                   </w:t>
            </w:r>
          </w:p>
        </w:tc>
      </w:tr>
      <w:tr w14:paraId="3DDE05BA">
        <w:tblPrEx>
          <w:tblCellMar>
            <w:top w:w="0" w:type="dxa"/>
            <w:left w:w="108" w:type="dxa"/>
            <w:bottom w:w="0" w:type="dxa"/>
            <w:right w:w="108" w:type="dxa"/>
          </w:tblCellMar>
        </w:tblPrEx>
        <w:trPr>
          <w:trHeight w:val="816" w:hRule="atLeast"/>
        </w:trPr>
        <w:tc>
          <w:tcPr>
            <w:tcW w:w="2687" w:type="dxa"/>
            <w:noWrap w:val="0"/>
            <w:vAlign w:val="center"/>
          </w:tcPr>
          <w:p w14:paraId="430DBA8A">
            <w:pPr>
              <w:jc w:val="right"/>
              <w:rPr>
                <w:sz w:val="32"/>
                <w:szCs w:val="32"/>
              </w:rPr>
            </w:pPr>
            <w:r>
              <w:rPr>
                <w:rFonts w:hint="eastAsia"/>
                <w:sz w:val="32"/>
                <w:szCs w:val="32"/>
              </w:rPr>
              <w:t>授课班级</w:t>
            </w:r>
          </w:p>
        </w:tc>
        <w:tc>
          <w:tcPr>
            <w:tcW w:w="5835" w:type="dxa"/>
            <w:noWrap w:val="0"/>
            <w:vAlign w:val="center"/>
          </w:tcPr>
          <w:p w14:paraId="4FD52CD6">
            <w:pPr>
              <w:rPr>
                <w:sz w:val="32"/>
                <w:szCs w:val="32"/>
                <w:u w:val="single"/>
              </w:rPr>
            </w:pPr>
            <w:r>
              <w:rPr>
                <w:rFonts w:hint="eastAsia"/>
                <w:sz w:val="32"/>
                <w:szCs w:val="32"/>
                <w:u w:val="single"/>
              </w:rPr>
              <w:t xml:space="preserve">                                    </w:t>
            </w:r>
          </w:p>
        </w:tc>
      </w:tr>
      <w:tr w14:paraId="28BFE392">
        <w:tblPrEx>
          <w:tblCellMar>
            <w:top w:w="0" w:type="dxa"/>
            <w:left w:w="108" w:type="dxa"/>
            <w:bottom w:w="0" w:type="dxa"/>
            <w:right w:w="108" w:type="dxa"/>
          </w:tblCellMar>
        </w:tblPrEx>
        <w:trPr>
          <w:trHeight w:val="816" w:hRule="atLeast"/>
        </w:trPr>
        <w:tc>
          <w:tcPr>
            <w:tcW w:w="2687" w:type="dxa"/>
            <w:noWrap w:val="0"/>
            <w:vAlign w:val="center"/>
          </w:tcPr>
          <w:p w14:paraId="4CD41525">
            <w:pPr>
              <w:jc w:val="right"/>
              <w:rPr>
                <w:sz w:val="32"/>
                <w:szCs w:val="32"/>
              </w:rPr>
            </w:pPr>
            <w:r>
              <w:rPr>
                <w:rFonts w:hint="eastAsia"/>
                <w:sz w:val="32"/>
                <w:szCs w:val="32"/>
              </w:rPr>
              <w:t>专业名称</w:t>
            </w:r>
          </w:p>
        </w:tc>
        <w:tc>
          <w:tcPr>
            <w:tcW w:w="5835" w:type="dxa"/>
            <w:noWrap w:val="0"/>
            <w:vAlign w:val="center"/>
          </w:tcPr>
          <w:p w14:paraId="608D2679">
            <w:pPr>
              <w:rPr>
                <w:sz w:val="32"/>
                <w:szCs w:val="32"/>
              </w:rPr>
            </w:pPr>
            <w:r>
              <w:rPr>
                <w:rFonts w:hint="eastAsia"/>
                <w:sz w:val="32"/>
                <w:szCs w:val="32"/>
                <w:u w:val="single"/>
              </w:rPr>
              <w:t xml:space="preserve">                                   </w:t>
            </w:r>
          </w:p>
        </w:tc>
      </w:tr>
      <w:tr w14:paraId="4134CB0F">
        <w:tblPrEx>
          <w:tblCellMar>
            <w:top w:w="0" w:type="dxa"/>
            <w:left w:w="108" w:type="dxa"/>
            <w:bottom w:w="0" w:type="dxa"/>
            <w:right w:w="108" w:type="dxa"/>
          </w:tblCellMar>
        </w:tblPrEx>
        <w:trPr>
          <w:trHeight w:val="816" w:hRule="atLeast"/>
        </w:trPr>
        <w:tc>
          <w:tcPr>
            <w:tcW w:w="2687" w:type="dxa"/>
            <w:noWrap w:val="0"/>
            <w:vAlign w:val="center"/>
          </w:tcPr>
          <w:p w14:paraId="602647AE">
            <w:pPr>
              <w:jc w:val="right"/>
              <w:rPr>
                <w:sz w:val="32"/>
                <w:szCs w:val="32"/>
              </w:rPr>
            </w:pPr>
            <w:r>
              <w:rPr>
                <w:rFonts w:hint="eastAsia"/>
                <w:sz w:val="32"/>
                <w:szCs w:val="32"/>
              </w:rPr>
              <w:t>课程名称</w:t>
            </w:r>
          </w:p>
        </w:tc>
        <w:tc>
          <w:tcPr>
            <w:tcW w:w="5835" w:type="dxa"/>
            <w:noWrap w:val="0"/>
            <w:vAlign w:val="center"/>
          </w:tcPr>
          <w:p w14:paraId="141BC3F0">
            <w:pPr>
              <w:rPr>
                <w:sz w:val="32"/>
                <w:szCs w:val="32"/>
              </w:rPr>
            </w:pPr>
            <w:r>
              <w:rPr>
                <w:rFonts w:hint="eastAsia"/>
                <w:sz w:val="32"/>
                <w:szCs w:val="32"/>
                <w:u w:val="single"/>
              </w:rPr>
              <w:t xml:space="preserve">                                   </w:t>
            </w:r>
          </w:p>
        </w:tc>
      </w:tr>
      <w:tr w14:paraId="0715EFA9">
        <w:tblPrEx>
          <w:tblCellMar>
            <w:top w:w="0" w:type="dxa"/>
            <w:left w:w="108" w:type="dxa"/>
            <w:bottom w:w="0" w:type="dxa"/>
            <w:right w:w="108" w:type="dxa"/>
          </w:tblCellMar>
        </w:tblPrEx>
        <w:trPr>
          <w:trHeight w:val="816" w:hRule="atLeast"/>
        </w:trPr>
        <w:tc>
          <w:tcPr>
            <w:tcW w:w="2687" w:type="dxa"/>
            <w:noWrap w:val="0"/>
            <w:vAlign w:val="center"/>
          </w:tcPr>
          <w:p w14:paraId="68922B21">
            <w:pPr>
              <w:jc w:val="right"/>
              <w:rPr>
                <w:sz w:val="32"/>
                <w:szCs w:val="32"/>
              </w:rPr>
            </w:pPr>
            <w:r>
              <w:rPr>
                <w:rFonts w:hint="eastAsia"/>
                <w:sz w:val="32"/>
                <w:szCs w:val="32"/>
              </w:rPr>
              <w:t>授课教师</w:t>
            </w:r>
          </w:p>
        </w:tc>
        <w:tc>
          <w:tcPr>
            <w:tcW w:w="5835" w:type="dxa"/>
            <w:noWrap w:val="0"/>
            <w:vAlign w:val="center"/>
          </w:tcPr>
          <w:p w14:paraId="217D5898">
            <w:pPr>
              <w:rPr>
                <w:sz w:val="32"/>
                <w:szCs w:val="32"/>
              </w:rPr>
            </w:pPr>
            <w:r>
              <w:rPr>
                <w:rFonts w:hint="eastAsia"/>
                <w:sz w:val="32"/>
                <w:szCs w:val="32"/>
                <w:u w:val="single"/>
              </w:rPr>
              <w:t xml:space="preserve">                                   </w:t>
            </w:r>
          </w:p>
        </w:tc>
      </w:tr>
    </w:tbl>
    <w:p w14:paraId="6B31C098">
      <w:pPr>
        <w:jc w:val="center"/>
        <w:rPr>
          <w:sz w:val="32"/>
          <w:szCs w:val="32"/>
        </w:rPr>
      </w:pPr>
    </w:p>
    <w:p w14:paraId="06319883">
      <w:pPr>
        <w:jc w:val="center"/>
        <w:rPr>
          <w:rFonts w:hint="eastAsia" w:ascii="宋体" w:hAnsi="宋体"/>
          <w:sz w:val="32"/>
        </w:rPr>
      </w:pPr>
    </w:p>
    <w:p w14:paraId="39FCA139">
      <w:pPr>
        <w:jc w:val="center"/>
        <w:rPr>
          <w:rFonts w:hint="eastAsia" w:ascii="宋体" w:hAnsi="宋体"/>
          <w:sz w:val="32"/>
        </w:rPr>
      </w:pPr>
    </w:p>
    <w:p w14:paraId="327F7D7D">
      <w:pPr>
        <w:jc w:val="center"/>
        <w:rPr>
          <w:rFonts w:hint="eastAsia" w:ascii="宋体" w:hAnsi="宋体"/>
          <w:sz w:val="32"/>
        </w:rPr>
      </w:pPr>
    </w:p>
    <w:p w14:paraId="50627E9F">
      <w:pPr>
        <w:rPr>
          <w:rFonts w:hint="eastAsia"/>
          <w:sz w:val="10"/>
        </w:rPr>
      </w:pPr>
    </w:p>
    <w:tbl>
      <w:tblPr>
        <w:tblStyle w:val="4"/>
        <w:tblW w:w="475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147"/>
        <w:gridCol w:w="1276"/>
        <w:gridCol w:w="1341"/>
        <w:gridCol w:w="1306"/>
        <w:gridCol w:w="2291"/>
      </w:tblGrid>
      <w:tr w14:paraId="23E3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5" w:hRule="atLeast"/>
        </w:trPr>
        <w:tc>
          <w:tcPr>
            <w:tcW w:w="834" w:type="pct"/>
            <w:noWrap w:val="0"/>
            <w:vAlign w:val="center"/>
          </w:tcPr>
          <w:p w14:paraId="1E35969B">
            <w:pPr>
              <w:spacing w:before="156" w:beforeLines="50" w:after="156" w:afterLines="50"/>
              <w:jc w:val="center"/>
              <w:rPr>
                <w:rFonts w:hint="eastAsia"/>
                <w:sz w:val="24"/>
              </w:rPr>
            </w:pPr>
            <w:r>
              <w:rPr>
                <w:rFonts w:hint="eastAsia"/>
                <w:sz w:val="24"/>
              </w:rPr>
              <w:t>课题名称</w:t>
            </w:r>
          </w:p>
        </w:tc>
        <w:tc>
          <w:tcPr>
            <w:tcW w:w="4165" w:type="pct"/>
            <w:gridSpan w:val="5"/>
            <w:noWrap w:val="0"/>
            <w:vAlign w:val="center"/>
          </w:tcPr>
          <w:p>
            <w:pPr>
              <w:jc w:val="left"/>
            </w:pPr>
            <w:r>
              <w:t>焊接5步法</w:t>
            </w:r>
          </w:p>
        </w:tc>
      </w:tr>
      <w:tr w14:paraId="146A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834" w:type="pct"/>
            <w:noWrap w:val="0"/>
            <w:vAlign w:val="center"/>
          </w:tcPr>
          <w:p w14:paraId="134B192F">
            <w:pPr>
              <w:spacing w:before="156" w:beforeLines="50" w:after="156" w:afterLines="50"/>
              <w:jc w:val="center"/>
              <w:rPr>
                <w:rFonts w:hint="eastAsia"/>
                <w:sz w:val="24"/>
              </w:rPr>
            </w:pPr>
            <w:r>
              <w:rPr>
                <w:rFonts w:hint="eastAsia"/>
                <w:sz w:val="24"/>
              </w:rPr>
              <w:t>授课班级</w:t>
            </w:r>
          </w:p>
        </w:tc>
        <w:tc>
          <w:tcPr>
            <w:tcW w:w="2130" w:type="pct"/>
            <w:gridSpan w:val="3"/>
            <w:noWrap w:val="0"/>
            <w:vAlign w:val="center"/>
          </w:tcPr>
          <w:p>
            <w:pPr>
              <w:jc w:val="left"/>
            </w:pPr>
            <w:r>
              <w:t>电气自动化（2）班</w:t>
            </w:r>
          </w:p>
        </w:tc>
        <w:tc>
          <w:tcPr>
            <w:tcW w:w="739" w:type="pct"/>
            <w:noWrap w:val="0"/>
            <w:vAlign w:val="center"/>
          </w:tcPr>
          <w:p w14:paraId="3EC8CD94">
            <w:pPr>
              <w:spacing w:before="156" w:beforeLines="50" w:after="156" w:afterLines="50"/>
              <w:jc w:val="center"/>
              <w:rPr>
                <w:rFonts w:hint="eastAsia"/>
                <w:sz w:val="24"/>
              </w:rPr>
            </w:pPr>
            <w:r>
              <w:rPr>
                <w:rFonts w:hint="eastAsia"/>
                <w:sz w:val="24"/>
              </w:rPr>
              <w:t>授课地点</w:t>
            </w:r>
          </w:p>
        </w:tc>
        <w:tc>
          <w:tcPr>
            <w:tcW w:w="1295" w:type="pct"/>
            <w:noWrap w:val="0"/>
            <w:vAlign w:val="center"/>
          </w:tcPr>
          <w:p>
            <w:pPr>
              <w:jc w:val="left"/>
            </w:pPr>
            <w:r>
              <w:t>焊接实训室</w:t>
            </w:r>
          </w:p>
        </w:tc>
      </w:tr>
      <w:tr w14:paraId="5BDDF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834" w:type="pct"/>
            <w:noWrap w:val="0"/>
            <w:vAlign w:val="center"/>
          </w:tcPr>
          <w:p w14:paraId="05FF524D">
            <w:pPr>
              <w:spacing w:before="156" w:beforeLines="50" w:after="156" w:afterLines="50"/>
              <w:jc w:val="center"/>
              <w:rPr>
                <w:rFonts w:hint="eastAsia"/>
                <w:sz w:val="24"/>
              </w:rPr>
            </w:pPr>
            <w:r>
              <w:rPr>
                <w:rFonts w:hint="eastAsia"/>
                <w:sz w:val="24"/>
              </w:rPr>
              <w:t>授课时间</w:t>
            </w:r>
          </w:p>
        </w:tc>
        <w:tc>
          <w:tcPr>
            <w:tcW w:w="649" w:type="pct"/>
            <w:noWrap w:val="0"/>
            <w:vAlign w:val="center"/>
          </w:tcPr>
          <w:p>
            <w:pPr>
              <w:jc w:val="left"/>
            </w:pPr>
            <w:r>
              <w:t>2026年2月16日</w:t>
            </w:r>
          </w:p>
        </w:tc>
        <w:tc>
          <w:tcPr>
            <w:tcW w:w="722" w:type="pct"/>
            <w:noWrap w:val="0"/>
            <w:vAlign w:val="center"/>
          </w:tcPr>
          <w:p w14:paraId="3CB75E9A">
            <w:pPr>
              <w:spacing w:before="156" w:beforeLines="50" w:after="156" w:afterLines="50"/>
              <w:jc w:val="center"/>
              <w:rPr>
                <w:rFonts w:hint="eastAsia"/>
                <w:sz w:val="24"/>
              </w:rPr>
            </w:pPr>
            <w:r>
              <w:rPr>
                <w:rFonts w:hint="eastAsia"/>
                <w:sz w:val="24"/>
              </w:rPr>
              <w:t>授课学时</w:t>
            </w:r>
          </w:p>
        </w:tc>
        <w:tc>
          <w:tcPr>
            <w:tcW w:w="758" w:type="pct"/>
            <w:noWrap w:val="0"/>
            <w:vAlign w:val="center"/>
          </w:tcPr>
          <w:p>
            <w:pPr>
              <w:jc w:val="left"/>
            </w:pPr>
            <w:r>
              <w:t>3学时</w:t>
            </w:r>
          </w:p>
        </w:tc>
        <w:tc>
          <w:tcPr>
            <w:tcW w:w="739" w:type="pct"/>
            <w:noWrap w:val="0"/>
            <w:vAlign w:val="center"/>
          </w:tcPr>
          <w:p w14:paraId="3D7902E7">
            <w:pPr>
              <w:spacing w:before="156" w:beforeLines="50" w:after="156" w:afterLines="50"/>
              <w:jc w:val="center"/>
              <w:rPr>
                <w:rFonts w:hint="eastAsia"/>
                <w:sz w:val="24"/>
              </w:rPr>
            </w:pPr>
            <w:r>
              <w:rPr>
                <w:rFonts w:hint="eastAsia" w:ascii="宋体" w:hAnsi="宋体" w:cs="宋体"/>
                <w:spacing w:val="8"/>
              </w:rPr>
              <w:t>授</w:t>
            </w:r>
            <w:r>
              <w:rPr>
                <w:rFonts w:hint="eastAsia" w:ascii="宋体" w:hAnsi="宋体" w:cs="宋体"/>
                <w:spacing w:val="6"/>
              </w:rPr>
              <w:t>课类型</w:t>
            </w:r>
          </w:p>
        </w:tc>
        <w:tc>
          <w:tcPr>
            <w:tcW w:w="1295" w:type="pct"/>
            <w:noWrap w:val="0"/>
            <w:vAlign w:val="center"/>
          </w:tcPr>
          <w:p>
            <w:pPr>
              <w:jc w:val="left"/>
            </w:pPr>
            <w:r>
              <w:rPr>
                <w:rFonts w:ascii="宋体" w:hAnsi="宋体"/>
              </w:rPr>
              <w:t>理实一体化</w:t>
            </w:r>
          </w:p>
        </w:tc>
      </w:tr>
      <w:tr w14:paraId="076EB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81" w:hRule="atLeast"/>
        </w:trPr>
        <w:tc>
          <w:tcPr>
            <w:tcW w:w="834" w:type="pct"/>
            <w:noWrap w:val="0"/>
            <w:vAlign w:val="center"/>
          </w:tcPr>
          <w:p w14:paraId="0BC5AD97">
            <w:pPr>
              <w:spacing w:before="156" w:beforeLines="50" w:after="156" w:afterLines="50" w:line="320" w:lineRule="exact"/>
              <w:jc w:val="center"/>
              <w:rPr>
                <w:rFonts w:hint="eastAsia"/>
                <w:sz w:val="24"/>
              </w:rPr>
            </w:pPr>
            <w:r>
              <w:rPr>
                <w:rFonts w:hint="eastAsia" w:ascii="宋体" w:hAnsi="宋体" w:cs="宋体"/>
                <w:spacing w:val="4"/>
              </w:rPr>
              <w:t>教学内容及学情分析</w:t>
            </w:r>
          </w:p>
        </w:tc>
        <w:tc>
          <w:tcPr>
            <w:tcW w:w="4165" w:type="pct"/>
            <w:gridSpan w:val="5"/>
            <w:noWrap w:val="0"/>
            <w:vAlign w:val="center"/>
          </w:tcPr>
          <w:p>
            <w:pPr>
              <w:jc w:val="left"/>
            </w:pPr>
            <w:r>
              <w:t>【教学内容】</w:t>
              <w:br/>
              <w:t>本节课主要讲授电子焊接中的核心技能——焊接5步法。教学内容包括：焊接前的准备工作（工具、材料、安全检查）、焊接5步法的具体操作流程（准备、加热、送丝、移丝、冷却）、焊接质量的评判标准（焊点形状、光泽、牢固度），以及焊接过程中的安全规范与常见问题处理。课程将结合实训操作，让学生从理论到实践全面掌握标准化的焊接操作流程，为后续电气自动化设备的安装、调试与维修打下坚实的技能基础。</w:t>
              <w:br/>
              <w:t>【学情分析】</w:t>
              <w:br/>
              <w:t>授课对象为电气自动化专业二年级学生，已具备基本的电路知识和简单的元器件识别能力，对焊接有初步了解但操作不规范。学生学习积极性较高，动手意愿强，但部分学生可能存在操作粗心、缺乏耐心的问题。预计学生在精确控制加热时间与送丝量、形成合格焊点等精细操作上会遇到困难，同时对焊接质量的标准理解可能不够深入。需要教师通过规范示范和反复练习来纠正不良习惯，强化标准意识。</w:t>
            </w:r>
          </w:p>
        </w:tc>
      </w:tr>
      <w:tr w14:paraId="7AA8C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1" w:hRule="atLeast"/>
        </w:trPr>
        <w:tc>
          <w:tcPr>
            <w:tcW w:w="1474" w:type="dxa"/>
            <w:noWrap w:val="0"/>
            <w:vAlign w:val="center"/>
          </w:tcPr>
          <w:p w14:paraId="09F71C7E">
            <w:pPr>
              <w:jc w:val="center"/>
              <w:rPr>
                <w:rFonts w:hint="eastAsia"/>
                <w:sz w:val="24"/>
              </w:rPr>
            </w:pPr>
            <w:r>
              <w:rPr>
                <w:rFonts w:hint="eastAsia" w:ascii="宋体" w:hAnsi="宋体" w:cs="宋体"/>
                <w:spacing w:val="7"/>
              </w:rPr>
              <w:t>教学目</w:t>
            </w:r>
            <w:r>
              <w:rPr>
                <w:rFonts w:hint="eastAsia" w:ascii="宋体" w:hAnsi="宋体" w:cs="宋体"/>
                <w:spacing w:val="6"/>
              </w:rPr>
              <w:t>标</w:t>
            </w:r>
          </w:p>
        </w:tc>
        <w:tc>
          <w:tcPr>
            <w:tcW w:w="7361" w:type="dxa"/>
            <w:gridSpan w:val="5"/>
            <w:noWrap w:val="0"/>
            <w:vAlign w:val="center"/>
          </w:tcPr>
          <w:p>
            <w:pPr>
              <w:jc w:val="left"/>
            </w:pPr>
            <w:r>
              <w:t>1. 知识目标：掌握焊接5步法（准备、加热、送丝、移丝、冷却）每一步的具体要求和操作要点；理解合格焊点的质量标准（圆润、光亮、无虚焊、无毛刺）；了解焊接安全操作规程及常见焊接缺陷的成因。</w:t>
              <w:br/>
              <w:t>2. 能力目标：能独立、规范地完成焊接5步法操作流程；能使用电烙铁等工具在电路板上完成元器件的可靠焊接；具备初步判断和修正常见焊接缺陷（如虚焊、桥接、拉尖）的能力。</w:t>
              <w:br/>
              <w:t>3. 素质目标：培养严谨细致、精益求精的工匠精神；树立规范操作、安全第一的职业意识；增强在实操中发现问题、解决问题的实践能力和团队协作意识。</w:t>
            </w:r>
          </w:p>
        </w:tc>
      </w:tr>
      <w:tr w14:paraId="161BF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1474" w:type="dxa"/>
            <w:noWrap w:val="0"/>
            <w:vAlign w:val="center"/>
          </w:tcPr>
          <w:p w14:paraId="56A85BD8">
            <w:pPr>
              <w:jc w:val="center"/>
              <w:rPr>
                <w:rFonts w:hint="eastAsia"/>
                <w:sz w:val="24"/>
              </w:rPr>
            </w:pPr>
            <w:r>
              <w:rPr>
                <w:rFonts w:hint="eastAsia" w:ascii="宋体" w:hAnsi="宋体" w:cs="宋体"/>
                <w:spacing w:val="7"/>
              </w:rPr>
              <w:t>教学重</w:t>
            </w:r>
            <w:r>
              <w:rPr>
                <w:rFonts w:hint="eastAsia" w:ascii="宋体" w:hAnsi="宋体" w:cs="宋体"/>
                <w:spacing w:val="6"/>
              </w:rPr>
              <w:t>点</w:t>
            </w:r>
          </w:p>
        </w:tc>
        <w:tc>
          <w:tcPr>
            <w:tcW w:w="4165" w:type="pct"/>
            <w:gridSpan w:val="5"/>
            <w:noWrap w:val="0"/>
            <w:vAlign w:val="center"/>
          </w:tcPr>
          <w:p>
            <w:pPr>
              <w:jc w:val="left"/>
            </w:pPr>
            <w:r>
              <w:t>1. 重点1：焊接5步法的标准化操作流程与动作要领</w:t>
              <w:br/>
              <w:t>2. 重点2：合格焊点的形成与质量判别标准</w:t>
              <w:br/>
              <w:t>3. 重点3：焊接过程中的安全规范与工具使用注意事项</w:t>
            </w:r>
          </w:p>
        </w:tc>
      </w:tr>
      <w:tr w14:paraId="3825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8" w:hRule="atLeast"/>
        </w:trPr>
        <w:tc>
          <w:tcPr>
            <w:tcW w:w="1474" w:type="dxa"/>
            <w:noWrap w:val="0"/>
            <w:vAlign w:val="center"/>
          </w:tcPr>
          <w:p w14:paraId="5A73D64C">
            <w:pPr>
              <w:jc w:val="center"/>
              <w:rPr>
                <w:rFonts w:hint="eastAsia"/>
                <w:sz w:val="24"/>
              </w:rPr>
            </w:pPr>
            <w:r>
              <w:rPr>
                <w:rFonts w:hint="eastAsia" w:ascii="宋体" w:hAnsi="宋体" w:cs="宋体"/>
                <w:spacing w:val="7"/>
              </w:rPr>
              <w:t>教学难</w:t>
            </w:r>
            <w:r>
              <w:rPr>
                <w:rFonts w:hint="eastAsia" w:ascii="宋体" w:hAnsi="宋体" w:cs="宋体"/>
                <w:spacing w:val="6"/>
              </w:rPr>
              <w:t>点</w:t>
            </w:r>
          </w:p>
        </w:tc>
        <w:tc>
          <w:tcPr>
            <w:tcW w:w="4165" w:type="pct"/>
            <w:gridSpan w:val="5"/>
            <w:noWrap w:val="0"/>
            <w:vAlign w:val="center"/>
          </w:tcPr>
          <w:p>
            <w:pPr>
              <w:jc w:val="left"/>
            </w:pPr>
            <w:r>
              <w:t>1. 难点1：加热与送丝时机的精准协同控制，避免虚焊或过热</w:t>
              <w:br/>
              <w:t>2. 难点2：焊点形状与光泽的掌控，形成圆润光亮的标准焊点</w:t>
            </w:r>
          </w:p>
        </w:tc>
      </w:tr>
      <w:tr w14:paraId="7494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4" w:hRule="atLeast"/>
        </w:trPr>
        <w:tc>
          <w:tcPr>
            <w:tcW w:w="1474" w:type="dxa"/>
            <w:noWrap w:val="0"/>
            <w:vAlign w:val="center"/>
          </w:tcPr>
          <w:p w14:paraId="0687A3ED">
            <w:pPr>
              <w:jc w:val="center"/>
              <w:rPr>
                <w:sz w:val="24"/>
              </w:rPr>
            </w:pPr>
            <w:r>
              <w:rPr>
                <w:rFonts w:hint="eastAsia" w:ascii="宋体" w:hAnsi="宋体" w:cs="宋体"/>
                <w:spacing w:val="7"/>
              </w:rPr>
              <w:t>教学方法与教学资源</w:t>
            </w:r>
          </w:p>
        </w:tc>
        <w:tc>
          <w:tcPr>
            <w:tcW w:w="4165" w:type="pct"/>
            <w:gridSpan w:val="5"/>
            <w:noWrap w:val="0"/>
            <w:vAlign w:val="center"/>
          </w:tcPr>
          <w:p>
            <w:pPr>
              <w:jc w:val="left"/>
            </w:pPr>
            <w:r>
              <w:t>【教学方法】</w:t>
              <w:br/>
              <w:t>任务驱动法、示范教学法、理实一体练习法、小组讨论法</w:t>
              <w:br/>
              <w:t>【教学资源】</w:t>
              <w:br/>
              <w:t>多媒体课件（含焊接5步法动画演示）、焊接实训台（含恒温电烙铁、焊锡丝、松香、电路板、元器件）、焊接质量对比样品、操作流程挂图、安全防护用品（护目镜、手套）</w:t>
            </w:r>
          </w:p>
        </w:tc>
      </w:tr>
      <w:tr w14:paraId="58D96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1" w:hRule="atLeast"/>
        </w:trPr>
        <w:tc>
          <w:tcPr>
            <w:tcW w:w="1474" w:type="dxa"/>
            <w:noWrap w:val="0"/>
            <w:vAlign w:val="center"/>
          </w:tcPr>
          <w:p w14:paraId="01DC87C6">
            <w:pPr>
              <w:jc w:val="center"/>
              <w:rPr>
                <w:rFonts w:hint="eastAsia"/>
                <w:sz w:val="24"/>
              </w:rPr>
            </w:pPr>
            <w:r>
              <w:rPr>
                <w:rFonts w:hint="eastAsia" w:ascii="宋体" w:hAnsi="宋体" w:cs="宋体"/>
                <w:spacing w:val="7"/>
              </w:rPr>
              <w:t>思政元素</w:t>
            </w:r>
          </w:p>
        </w:tc>
        <w:tc>
          <w:tcPr>
            <w:tcW w:w="4165" w:type="pct"/>
            <w:gridSpan w:val="5"/>
            <w:noWrap w:val="0"/>
            <w:vAlign w:val="center"/>
          </w:tcPr>
          <w:p>
            <w:pPr>
              <w:jc w:val="left"/>
            </w:pPr>
            <w:r>
              <w:t>1. 思政点1：通过强调焊接质量对电气设备可靠性的关键作用，引导学生认识精益求精的工匠精神对国家制造业高质量发展的重要性。</w:t>
              <w:br/>
              <w:t>2. 思政点2：结合焊接操作的严格规范，类比社会信用体系中的“规范记录”（如参考文档中强调的信用记录），强调遵守职业规范、建立个人职业信用的价值。</w:t>
              <w:br/>
              <w:t>3. 思政点3：在小组练习中培养团队协作精神，在安全规范教育中强化责任意识，保障自身与他人安全。</w:t>
              <w:br/>
              <w:t>4. 思政点4：介绍我国在高端电子制造领域的成就，激发学生的民族自豪感和投身技术创新的使命感。</w:t>
            </w:r>
          </w:p>
        </w:tc>
      </w:tr>
    </w:tbl>
    <w:p w14:paraId="7BD3B59A">
      <w:pPr>
        <w:rPr>
          <w:rFonts w:hint="eastAsia"/>
          <w:sz w:val="10"/>
        </w:rPr>
      </w:pPr>
    </w:p>
    <w:p w14:paraId="62EA29CF">
      <w:pPr>
        <w:rPr>
          <w:rFonts w:hint="eastAsia"/>
          <w:sz w:val="10"/>
        </w:rPr>
      </w:pPr>
    </w:p>
    <w:p w14:paraId="46A890A1">
      <w:pPr>
        <w:rPr>
          <w:rFonts w:hint="eastAsia"/>
          <w:sz w:val="10"/>
        </w:rPr>
      </w:pPr>
    </w:p>
    <w:p w14:paraId="33FF7DAE">
      <w:pPr>
        <w:rPr>
          <w:rFonts w:hint="eastAsia"/>
          <w:sz w:val="10"/>
        </w:rPr>
      </w:pPr>
    </w:p>
    <w:p w14:paraId="0B813D31">
      <w:pPr>
        <w:rPr>
          <w:rFonts w:hint="eastAsia"/>
          <w:sz w:val="10"/>
        </w:rPr>
      </w:pPr>
    </w:p>
    <w:tbl>
      <w:tblPr>
        <w:tblStyle w:val="4"/>
        <w:tblpPr w:leftFromText="181" w:rightFromText="181" w:vertAnchor="text" w:horzAnchor="page" w:tblpXSpec="center" w:tblpY="120"/>
        <w:tblOverlap w:val="never"/>
        <w:tblW w:w="891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Layout w:type="fixed"/>
        <w:tblCellMar>
          <w:top w:w="0" w:type="dxa"/>
          <w:left w:w="0" w:type="dxa"/>
          <w:bottom w:w="0" w:type="dxa"/>
          <w:right w:w="0" w:type="dxa"/>
        </w:tblCellMar>
      </w:tblPr>
      <w:tblGrid>
        <w:gridCol w:w="1314"/>
        <w:gridCol w:w="4832"/>
        <w:gridCol w:w="1555"/>
        <w:gridCol w:w="1217"/>
      </w:tblGrid>
      <w:tr w14:paraId="789244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457" w:hRule="atLeast"/>
          <w:jc w:val="center"/>
        </w:trPr>
        <w:tc>
          <w:tcPr>
            <w:tcW w:w="8918" w:type="dxa"/>
            <w:gridSpan w:val="4"/>
            <w:tcBorders>
              <w:top w:val="single" w:color="000000" w:sz="2" w:space="0"/>
              <w:bottom w:val="single" w:color="000000" w:sz="2" w:space="0"/>
            </w:tcBorders>
            <w:shd w:val="clear" w:color="auto" w:fill="FFFFFF"/>
            <w:noWrap w:val="0"/>
            <w:vAlign w:val="center"/>
          </w:tcPr>
          <w:p w14:paraId="773C77B7">
            <w:pPr>
              <w:jc w:val="center"/>
              <w:rPr>
                <w:rFonts w:ascii="黑体" w:hAnsi="黑体" w:eastAsia="黑体" w:cs="黑体"/>
                <w:spacing w:val="14"/>
                <w:sz w:val="28"/>
                <w:szCs w:val="28"/>
              </w:rPr>
            </w:pPr>
            <w:bookmarkStart w:id="0" w:name="_GoBack"/>
            <w:r>
              <w:rPr>
                <w:rFonts w:ascii="黑体" w:hAnsi="黑体" w:eastAsia="黑体" w:cs="黑体"/>
                <w:spacing w:val="14"/>
                <w:sz w:val="28"/>
                <w:szCs w:val="28"/>
              </w:rPr>
              <w:t>教</w:t>
            </w:r>
            <w:r>
              <w:rPr>
                <w:rFonts w:ascii="黑体" w:hAnsi="黑体" w:eastAsia="黑体" w:cs="黑体"/>
                <w:spacing w:val="7"/>
                <w:sz w:val="28"/>
                <w:szCs w:val="28"/>
              </w:rPr>
              <w:t xml:space="preserve"> 学 实 施 过 程</w:t>
            </w:r>
            <w:bookmarkEnd w:id="0"/>
          </w:p>
        </w:tc>
      </w:tr>
      <w:tr w14:paraId="05045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450" w:hRule="atLeast"/>
          <w:jc w:val="center"/>
        </w:trPr>
        <w:tc>
          <w:tcPr>
            <w:tcW w:w="1314" w:type="dxa"/>
            <w:tcBorders>
              <w:top w:val="single" w:color="000000" w:sz="2" w:space="0"/>
              <w:bottom w:val="single" w:color="000000" w:sz="2" w:space="0"/>
            </w:tcBorders>
            <w:shd w:val="clear" w:color="auto" w:fill="FFFFFF"/>
            <w:noWrap w:val="0"/>
            <w:vAlign w:val="center"/>
          </w:tcPr>
          <w:p w14:paraId="03289E6A">
            <w:pPr>
              <w:jc w:val="center"/>
              <w:rPr>
                <w:rFonts w:ascii="宋体" w:hAnsi="宋体" w:cs="宋体"/>
              </w:rPr>
            </w:pPr>
            <w:r>
              <w:rPr>
                <w:rFonts w:ascii="宋体" w:hAnsi="宋体" w:cs="宋体"/>
                <w:spacing w:val="9"/>
              </w:rPr>
              <w:t>教</w:t>
            </w:r>
            <w:r>
              <w:rPr>
                <w:rFonts w:ascii="宋体" w:hAnsi="宋体" w:cs="宋体"/>
                <w:spacing w:val="7"/>
              </w:rPr>
              <w:t>学环节</w:t>
            </w:r>
            <w:r>
              <w:rPr>
                <w:rFonts w:hint="eastAsia" w:ascii="宋体" w:hAnsi="宋体" w:cs="宋体"/>
                <w:spacing w:val="7"/>
              </w:rPr>
              <w:t>及时间分配</w:t>
            </w:r>
          </w:p>
        </w:tc>
        <w:tc>
          <w:tcPr>
            <w:tcW w:w="4832" w:type="dxa"/>
            <w:tcBorders>
              <w:top w:val="single" w:color="000000" w:sz="2" w:space="0"/>
              <w:bottom w:val="single" w:color="000000" w:sz="2" w:space="0"/>
            </w:tcBorders>
            <w:shd w:val="clear" w:color="auto" w:fill="FFFFFF"/>
            <w:noWrap w:val="0"/>
            <w:vAlign w:val="center"/>
          </w:tcPr>
          <w:p w14:paraId="6DE1A651">
            <w:pPr>
              <w:jc w:val="center"/>
              <w:rPr>
                <w:rFonts w:ascii="宋体" w:hAnsi="宋体" w:cs="宋体"/>
              </w:rPr>
            </w:pPr>
            <w:r>
              <w:rPr>
                <w:rFonts w:ascii="宋体" w:hAnsi="宋体" w:cs="宋体"/>
                <w:spacing w:val="9"/>
              </w:rPr>
              <w:t>教</w:t>
            </w:r>
            <w:r>
              <w:rPr>
                <w:rFonts w:ascii="宋体" w:hAnsi="宋体" w:cs="宋体"/>
                <w:spacing w:val="7"/>
              </w:rPr>
              <w:t>学内容</w:t>
            </w:r>
          </w:p>
        </w:tc>
        <w:tc>
          <w:tcPr>
            <w:tcW w:w="1555" w:type="dxa"/>
            <w:tcBorders>
              <w:top w:val="single" w:color="000000" w:sz="2" w:space="0"/>
              <w:bottom w:val="single" w:color="000000" w:sz="2" w:space="0"/>
            </w:tcBorders>
            <w:shd w:val="clear" w:color="auto" w:fill="FFFFFF"/>
            <w:noWrap w:val="0"/>
            <w:vAlign w:val="center"/>
          </w:tcPr>
          <w:p w14:paraId="25E73364">
            <w:pPr>
              <w:jc w:val="center"/>
              <w:rPr>
                <w:rFonts w:ascii="宋体" w:hAnsi="宋体" w:cs="宋体"/>
              </w:rPr>
            </w:pPr>
            <w:r>
              <w:rPr>
                <w:rFonts w:ascii="宋体" w:hAnsi="宋体" w:cs="宋体"/>
                <w:spacing w:val="9"/>
              </w:rPr>
              <w:t>教</w:t>
            </w:r>
            <w:r>
              <w:rPr>
                <w:rFonts w:ascii="宋体" w:hAnsi="宋体" w:cs="宋体"/>
                <w:spacing w:val="7"/>
              </w:rPr>
              <w:t>师活动</w:t>
            </w:r>
          </w:p>
        </w:tc>
        <w:tc>
          <w:tcPr>
            <w:tcW w:w="1217" w:type="dxa"/>
            <w:tcBorders>
              <w:top w:val="single" w:color="000000" w:sz="2" w:space="0"/>
              <w:bottom w:val="single" w:color="000000" w:sz="2" w:space="0"/>
            </w:tcBorders>
            <w:shd w:val="clear" w:color="auto" w:fill="FFFFFF"/>
            <w:noWrap w:val="0"/>
            <w:vAlign w:val="center"/>
          </w:tcPr>
          <w:p w14:paraId="44D6E46D">
            <w:pPr>
              <w:jc w:val="center"/>
              <w:rPr>
                <w:rFonts w:ascii="宋体" w:hAnsi="宋体" w:cs="宋体"/>
              </w:rPr>
            </w:pPr>
            <w:r>
              <w:rPr>
                <w:rFonts w:ascii="宋体" w:hAnsi="宋体" w:cs="宋体"/>
                <w:spacing w:val="7"/>
              </w:rPr>
              <w:t>学生活动</w:t>
            </w:r>
          </w:p>
        </w:tc>
      </w:tr>
      <w:tr>
        <w:tc>
          <w:tcPr>
            <w:tcW w:type="dxa" w:w="1314"/>
            <w:vAlign w:val="center"/>
          </w:tcPr>
          <w:p>
            <w:pPr>
              <w:jc w:val="left"/>
            </w:pPr>
            <w:r>
              <w:t>任务导入与案例启示（10min）</w:t>
            </w:r>
          </w:p>
        </w:tc>
        <w:tc>
          <w:tcPr>
            <w:tcW w:type="dxa" w:w="4832"/>
            <w:vAlign w:val="center"/>
          </w:tcPr>
          <w:p>
            <w:pPr>
              <w:jc w:val="left"/>
            </w:pPr>
            <w:r>
              <w:t>展示因焊接不良导致设备故障的案例，引出焊接质量的重要性。简要介绍参考文档中“信用记录”的概念，类比焊接操作：每一次规范操作都像一次良好的“信用记录”，累积成可靠的技能与产品信誉。明确本节课任务：掌握规范的焊接5步法，做出“信用良好”的焊点。</w:t>
            </w:r>
          </w:p>
        </w:tc>
        <w:tc>
          <w:tcPr>
            <w:tcW w:type="dxa" w:w="1555"/>
            <w:vAlign w:val="center"/>
          </w:tcPr>
          <w:p>
            <w:pPr>
              <w:jc w:val="left"/>
            </w:pPr>
            <w:r>
              <w:t>播放故障案例视频，讲解焊接质量与设备可靠性的关系。展示参考文档片段，进行类比启发。发布本节课实训任务书。</w:t>
            </w:r>
          </w:p>
        </w:tc>
        <w:tc>
          <w:tcPr>
            <w:tcW w:type="dxa" w:w="1217"/>
            <w:vAlign w:val="center"/>
          </w:tcPr>
          <w:p>
            <w:pPr>
              <w:jc w:val="left"/>
            </w:pPr>
            <w:r>
              <w:t>观看案例，思考焊接质量的意义。理解“规范操作即职业信用”的类比。明确实训任务目标。</w:t>
            </w:r>
          </w:p>
        </w:tc>
      </w:tr>
      <w:tr>
        <w:tc>
          <w:tcPr>
            <w:tcW w:type="dxa" w:w="1314"/>
            <w:vAlign w:val="center"/>
          </w:tcPr>
          <w:p>
            <w:pPr>
              <w:jc w:val="left"/>
            </w:pPr>
            <w:r>
              <w:t>知识讲解与示范演示（25min）</w:t>
            </w:r>
          </w:p>
        </w:tc>
        <w:tc>
          <w:tcPr>
            <w:tcW w:type="dxa" w:w="4832"/>
            <w:vAlign w:val="center"/>
          </w:tcPr>
          <w:p>
            <w:pPr>
              <w:jc w:val="left"/>
            </w:pPr>
            <w:r>
              <w:t>系统讲解焊接5步法：1.准备（清洁烙铁头、固定工件）；2.加热（烙铁头同时接触焊盘与引脚）；3.送丝（从对面送入适量焊锡）；4.移丝（先移开焊锡丝）；5.冷却（后移开烙铁，自然凝固）。强调每个步骤的关键点、常见错误及安全事项。教师进行标准化操作慢速示范。</w:t>
            </w:r>
          </w:p>
        </w:tc>
        <w:tc>
          <w:tcPr>
            <w:tcW w:type="dxa" w:w="1555"/>
            <w:vAlign w:val="center"/>
          </w:tcPr>
          <w:p>
            <w:pPr>
              <w:jc w:val="left"/>
            </w:pPr>
            <w:r>
              <w:t>利用课件和动画逐步讲解5步法。在实物投影下进行规范操作示范，重点演示加热位置、送丝角度和移开时机。展示优质与劣质焊点样品进行对比。</w:t>
            </w:r>
          </w:p>
        </w:tc>
        <w:tc>
          <w:tcPr>
            <w:tcW w:type="dxa" w:w="1217"/>
            <w:vAlign w:val="center"/>
          </w:tcPr>
          <w:p>
            <w:pPr>
              <w:jc w:val="left"/>
            </w:pPr>
            <w:r>
              <w:t>认真听讲，观察示范，记录关键步骤和要点。对比焊点样品，初步建立质量好坏的概念。</w:t>
            </w:r>
          </w:p>
        </w:tc>
      </w:tr>
      <w:tr>
        <w:tc>
          <w:tcPr>
            <w:tcW w:type="dxa" w:w="1314"/>
            <w:vAlign w:val="center"/>
          </w:tcPr>
          <w:p>
            <w:pPr>
              <w:jc w:val="left"/>
            </w:pPr>
            <w:r>
              <w:t>分组练习与巡回指导（45min）</w:t>
            </w:r>
          </w:p>
        </w:tc>
        <w:tc>
          <w:tcPr>
            <w:tcW w:type="dxa" w:w="4832"/>
            <w:vAlign w:val="center"/>
          </w:tcPr>
          <w:p>
            <w:pPr>
              <w:jc w:val="left"/>
            </w:pPr>
            <w:r>
              <w:t>学生以小组为单位，在电路板上进行焊接5步法实操练习。从单个焊点练习开始，过渡到简单元器件的焊接。重点练习加热与送丝的配合。</w:t>
            </w:r>
          </w:p>
        </w:tc>
        <w:tc>
          <w:tcPr>
            <w:tcW w:type="dxa" w:w="1555"/>
            <w:vAlign w:val="center"/>
          </w:tcPr>
          <w:p>
            <w:pPr>
              <w:jc w:val="left"/>
            </w:pPr>
            <w:r>
              <w:t>巡视各小组，观察学生操作，及时纠正不规范动作（如烙铁握姿、加热时间过长）。针对共性问题进行集中讲解。检查学生焊点，给予即时反馈。强调安全操作。</w:t>
            </w:r>
          </w:p>
        </w:tc>
        <w:tc>
          <w:tcPr>
            <w:tcW w:type="dxa" w:w="1217"/>
            <w:vAlign w:val="center"/>
          </w:tcPr>
          <w:p>
            <w:pPr>
              <w:jc w:val="left"/>
            </w:pPr>
            <w:r>
              <w:t>两人一组，轮流进行焊接练习，互相观察、提醒。按照5步法步骤反复练习，尝试焊接不同元器件。记录练习中遇到的问题。</w:t>
            </w:r>
          </w:p>
        </w:tc>
      </w:tr>
      <w:tr>
        <w:tc>
          <w:tcPr>
            <w:tcW w:type="dxa" w:w="1314"/>
            <w:vAlign w:val="center"/>
          </w:tcPr>
          <w:p>
            <w:pPr>
              <w:jc w:val="left"/>
            </w:pPr>
            <w:r>
              <w:t>问题研讨与质量互评（15min）</w:t>
            </w:r>
          </w:p>
        </w:tc>
        <w:tc>
          <w:tcPr>
            <w:tcW w:type="dxa" w:w="4832"/>
            <w:vAlign w:val="center"/>
          </w:tcPr>
          <w:p>
            <w:pPr>
              <w:jc w:val="left"/>
            </w:pPr>
            <w:r>
              <w:t>各小组展示焊接作品，围绕常见问题（如虚焊、桥接、焊点不光泽）进行讨论。依据质量标准，小组间进行焊点互评。教师总结典型问题及其解决方法。</w:t>
            </w:r>
          </w:p>
        </w:tc>
        <w:tc>
          <w:tcPr>
            <w:tcW w:type="dxa" w:w="1555"/>
            <w:vAlign w:val="center"/>
          </w:tcPr>
          <w:p>
            <w:pPr>
              <w:jc w:val="left"/>
            </w:pPr>
            <w:r>
              <w:t>组织小组展示与讨论，引导分析缺陷产生的原因。提供质量检查清单，指导互评。总结归纳焊接成功的核心要点。</w:t>
            </w:r>
          </w:p>
        </w:tc>
        <w:tc>
          <w:tcPr>
            <w:tcW w:type="dxa" w:w="1217"/>
            <w:vAlign w:val="center"/>
          </w:tcPr>
          <w:p>
            <w:pPr>
              <w:jc w:val="left"/>
            </w:pPr>
            <w:r>
              <w:t>展示本组作品，参与讨论，分析他人作品的优缺点。根据清单进行互评，加深对质量标准的理解。</w:t>
            </w:r>
          </w:p>
        </w:tc>
      </w:tr>
      <w:tr>
        <w:tc>
          <w:tcPr>
            <w:tcW w:type="dxa" w:w="1314"/>
            <w:vAlign w:val="center"/>
          </w:tcPr>
          <w:p>
            <w:pPr>
              <w:jc w:val="left"/>
            </w:pPr>
            <w:r>
              <w:t>总结提升与课后布置（10min）</w:t>
            </w:r>
          </w:p>
        </w:tc>
        <w:tc>
          <w:tcPr>
            <w:tcW w:type="dxa" w:w="4832"/>
            <w:vAlign w:val="center"/>
          </w:tcPr>
          <w:p>
            <w:pPr>
              <w:jc w:val="left"/>
            </w:pPr>
            <w:r>
              <w:t>回顾焊接5步法的核心流程与质量要求。再次强调规范操作、注重细节的工匠精神对于个人职业发展和国家制造业的意义。布置课后作业。</w:t>
            </w:r>
          </w:p>
        </w:tc>
        <w:tc>
          <w:tcPr>
            <w:tcW w:type="dxa" w:w="1555"/>
            <w:vAlign w:val="center"/>
          </w:tcPr>
          <w:p>
            <w:pPr>
              <w:jc w:val="left"/>
            </w:pPr>
            <w:r>
              <w:t>系统总结本节课知识点与技能要点。升华课程思政主题，鼓励学生追求卓越。清晰布置课外作业。</w:t>
            </w:r>
          </w:p>
        </w:tc>
        <w:tc>
          <w:tcPr>
            <w:tcW w:type="dxa" w:w="1217"/>
            <w:vAlign w:val="center"/>
          </w:tcPr>
          <w:p>
            <w:pPr>
              <w:jc w:val="left"/>
            </w:pPr>
            <w:r>
              <w:t>跟随教师回顾，梳理知识技能体系。思考工匠精神的内涵。记录课后作业要求。</w:t>
            </w:r>
          </w:p>
        </w:tc>
      </w:tr>
      <w:tr w14:paraId="665CA7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1206" w:hRule="atLeast"/>
          <w:jc w:val="center"/>
        </w:trPr>
        <w:tc>
          <w:tcPr>
            <w:tcW w:w="1314" w:type="dxa"/>
            <w:tcBorders>
              <w:top w:val="single" w:color="000000" w:sz="2" w:space="0"/>
              <w:bottom w:val="single" w:color="000000" w:sz="2" w:space="0"/>
            </w:tcBorders>
            <w:shd w:val="clear" w:color="auto" w:fill="FFFFFF"/>
            <w:noWrap w:val="0"/>
            <w:vAlign w:val="center"/>
          </w:tcPr>
          <w:p w14:paraId="75C3D506">
            <w:pPr>
              <w:jc w:val="center"/>
              <w:rPr>
                <w:rFonts w:ascii="宋体" w:hAnsi="宋体" w:cs="宋体"/>
                <w:spacing w:val="7"/>
              </w:rPr>
            </w:pPr>
            <w:r>
              <w:rPr>
                <w:rFonts w:hint="eastAsia" w:ascii="宋体" w:hAnsi="宋体" w:cs="宋体"/>
                <w:spacing w:val="7"/>
              </w:rPr>
              <w:t>课外作业</w:t>
            </w:r>
          </w:p>
        </w:tc>
        <w:tc>
          <w:tcPr>
            <w:tcW w:w="7604" w:type="dxa"/>
            <w:gridSpan w:val="3"/>
            <w:tcBorders>
              <w:top w:val="single" w:color="000000" w:sz="2" w:space="0"/>
              <w:bottom w:val="single" w:color="000000" w:sz="2" w:space="0"/>
            </w:tcBorders>
            <w:shd w:val="clear" w:color="auto" w:fill="FFFFFF"/>
            <w:noWrap w:val="0"/>
            <w:vAlign w:val="center"/>
          </w:tcPr>
          <w:p>
            <w:pPr>
              <w:jc w:val="left"/>
            </w:pPr>
            <w:r>
              <w:t>1. 基础题：书面简述焊接5步法的具体步骤及每一步的操作要点。</w:t>
              <w:br/>
              <w:t>2. 提升题：在家中或实训室，找一块旧电路板，练习拆除和重新焊接5个相同类型的元器件，并拍照记录最好和最差的一个焊点，简要分析原因。</w:t>
              <w:br/>
              <w:t>3. 预习：预习下一节课“PCB电路板设计与布线基础”的内容，思考焊接工艺与电路板设计之间的关系。</w:t>
            </w:r>
          </w:p>
        </w:tc>
      </w:tr>
      <w:tr w14:paraId="010FDB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896" w:hRule="atLeast"/>
          <w:jc w:val="center"/>
        </w:trPr>
        <w:tc>
          <w:tcPr>
            <w:tcW w:w="1314" w:type="dxa"/>
            <w:tcBorders>
              <w:top w:val="single" w:color="000000" w:sz="2" w:space="0"/>
              <w:bottom w:val="single" w:color="000000" w:sz="2" w:space="0"/>
            </w:tcBorders>
            <w:shd w:val="clear" w:color="auto" w:fill="FFFFFF"/>
            <w:noWrap w:val="0"/>
            <w:vAlign w:val="center"/>
          </w:tcPr>
          <w:p w14:paraId="47451096">
            <w:pPr>
              <w:jc w:val="center"/>
              <w:rPr>
                <w:rFonts w:ascii="宋体" w:hAnsi="宋体" w:cs="宋体"/>
                <w:spacing w:val="7"/>
              </w:rPr>
            </w:pPr>
            <w:r>
              <w:rPr>
                <w:rFonts w:hint="eastAsia" w:ascii="宋体" w:hAnsi="宋体" w:cs="宋体"/>
                <w:spacing w:val="7"/>
              </w:rPr>
              <w:t>教学反思</w:t>
            </w:r>
          </w:p>
        </w:tc>
        <w:tc>
          <w:tcPr>
            <w:tcW w:w="7604" w:type="dxa"/>
            <w:gridSpan w:val="3"/>
            <w:tcBorders>
              <w:top w:val="single" w:color="000000" w:sz="2" w:space="0"/>
              <w:bottom w:val="single" w:color="000000" w:sz="2" w:space="0"/>
            </w:tcBorders>
            <w:shd w:val="clear" w:color="auto" w:fill="FFFFFF"/>
            <w:noWrap w:val="0"/>
            <w:vAlign w:val="center"/>
          </w:tcPr>
          <w:p>
            <w:pPr>
              <w:jc w:val="left"/>
            </w:pPr>
            <w:r/>
          </w:p>
        </w:tc>
      </w:tr>
    </w:tbl>
    <w:p w14:paraId="353579FE">
      <w:pPr>
        <w:jc w:val="left"/>
        <w:rPr>
          <w:rFonts w:hint="eastAsia"/>
          <w:sz w:val="10"/>
        </w:rPr>
      </w:pPr>
    </w:p>
    <w:sectPr>
      <w:pgSz w:w="11907" w:h="16840"/>
      <w:pgMar w:top="1304" w:right="1134" w:bottom="1247" w:left="1701"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altName w:val="仿宋"/>
    <w:panose1 w:val="00000000000000000000"/>
    <w:charset w:val="00"/>
    <w:family w:val="auto"/>
    <w:pitch w:val="default"/>
    <w:sig w:usb0="00000000" w:usb1="00000000" w:usb2="00000000" w:usb3="00000000" w:csb0="00040001"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g1MTM5OWNkZTVjMjY2ZGEyNjhjMmNmNDA4NDBhZjQifQ=="/>
  </w:docVars>
  <w:rsids>
    <w:rsidRoot w:val="00E72E06"/>
    <w:rsid w:val="00074944"/>
    <w:rsid w:val="000A0417"/>
    <w:rsid w:val="000C01FE"/>
    <w:rsid w:val="000D300E"/>
    <w:rsid w:val="000E32B8"/>
    <w:rsid w:val="0011732B"/>
    <w:rsid w:val="001E2870"/>
    <w:rsid w:val="0021194F"/>
    <w:rsid w:val="00211D8D"/>
    <w:rsid w:val="00216FA2"/>
    <w:rsid w:val="002733F5"/>
    <w:rsid w:val="00290225"/>
    <w:rsid w:val="002A474E"/>
    <w:rsid w:val="002E24E0"/>
    <w:rsid w:val="00345C68"/>
    <w:rsid w:val="0034739E"/>
    <w:rsid w:val="0036799A"/>
    <w:rsid w:val="00403D23"/>
    <w:rsid w:val="004041F9"/>
    <w:rsid w:val="004300FA"/>
    <w:rsid w:val="00437223"/>
    <w:rsid w:val="00452746"/>
    <w:rsid w:val="0046593D"/>
    <w:rsid w:val="004667BD"/>
    <w:rsid w:val="004770BF"/>
    <w:rsid w:val="004B4670"/>
    <w:rsid w:val="004C2778"/>
    <w:rsid w:val="0052105E"/>
    <w:rsid w:val="0053081C"/>
    <w:rsid w:val="005A4016"/>
    <w:rsid w:val="005D4583"/>
    <w:rsid w:val="00620F36"/>
    <w:rsid w:val="006264AA"/>
    <w:rsid w:val="00691C48"/>
    <w:rsid w:val="006A4F73"/>
    <w:rsid w:val="006C2A23"/>
    <w:rsid w:val="006D103F"/>
    <w:rsid w:val="006E6C24"/>
    <w:rsid w:val="006E6CC9"/>
    <w:rsid w:val="00736D03"/>
    <w:rsid w:val="00765D99"/>
    <w:rsid w:val="00773524"/>
    <w:rsid w:val="0079385E"/>
    <w:rsid w:val="007A434B"/>
    <w:rsid w:val="007A7E07"/>
    <w:rsid w:val="007C0AB8"/>
    <w:rsid w:val="007C5152"/>
    <w:rsid w:val="007D4165"/>
    <w:rsid w:val="007D4EAF"/>
    <w:rsid w:val="00826708"/>
    <w:rsid w:val="00836708"/>
    <w:rsid w:val="008517D3"/>
    <w:rsid w:val="009002FF"/>
    <w:rsid w:val="00906531"/>
    <w:rsid w:val="00923115"/>
    <w:rsid w:val="00925998"/>
    <w:rsid w:val="00992A1A"/>
    <w:rsid w:val="009C24E8"/>
    <w:rsid w:val="009D6571"/>
    <w:rsid w:val="009E1985"/>
    <w:rsid w:val="00AD7F22"/>
    <w:rsid w:val="00B03980"/>
    <w:rsid w:val="00B26B28"/>
    <w:rsid w:val="00B3110D"/>
    <w:rsid w:val="00B4102A"/>
    <w:rsid w:val="00B654FA"/>
    <w:rsid w:val="00B67989"/>
    <w:rsid w:val="00B7380A"/>
    <w:rsid w:val="00BA13B6"/>
    <w:rsid w:val="00BB320E"/>
    <w:rsid w:val="00BF2593"/>
    <w:rsid w:val="00BF6032"/>
    <w:rsid w:val="00C01AE8"/>
    <w:rsid w:val="00C10250"/>
    <w:rsid w:val="00C14611"/>
    <w:rsid w:val="00C30851"/>
    <w:rsid w:val="00C379CB"/>
    <w:rsid w:val="00C41FF5"/>
    <w:rsid w:val="00C60D77"/>
    <w:rsid w:val="00CE3AA2"/>
    <w:rsid w:val="00CE744B"/>
    <w:rsid w:val="00CF42A8"/>
    <w:rsid w:val="00D5791B"/>
    <w:rsid w:val="00D96390"/>
    <w:rsid w:val="00DF6BD8"/>
    <w:rsid w:val="00E00565"/>
    <w:rsid w:val="00E408DE"/>
    <w:rsid w:val="00E72E06"/>
    <w:rsid w:val="00E73AD6"/>
    <w:rsid w:val="00EA3267"/>
    <w:rsid w:val="00EA66B0"/>
    <w:rsid w:val="00ED45FC"/>
    <w:rsid w:val="00ED7E40"/>
    <w:rsid w:val="00F4521A"/>
    <w:rsid w:val="00FC2260"/>
    <w:rsid w:val="00FE58EE"/>
    <w:rsid w:val="00FF4058"/>
    <w:rsid w:val="10776A03"/>
    <w:rsid w:val="167354E7"/>
    <w:rsid w:val="1F6941A8"/>
    <w:rsid w:val="3B6505B6"/>
    <w:rsid w:val="51EB286F"/>
    <w:rsid w:val="6762319D"/>
    <w:rsid w:val="761A7D0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6">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7"/>
    <w:uiPriority w:val="0"/>
    <w:pPr>
      <w:tabs>
        <w:tab w:val="center" w:pos="4153"/>
        <w:tab w:val="right" w:pos="8306"/>
      </w:tabs>
      <w:snapToGrid w:val="0"/>
      <w:jc w:val="left"/>
    </w:pPr>
    <w:rPr>
      <w:sz w:val="18"/>
      <w:szCs w:val="18"/>
    </w:rPr>
  </w:style>
  <w:style w:type="paragraph" w:styleId="3">
    <w:name w:val="header"/>
    <w:basedOn w:val="1"/>
    <w:link w:val="8"/>
    <w:uiPriority w:val="0"/>
    <w:pPr>
      <w:pBdr>
        <w:bottom w:val="single" w:color="auto" w:sz="6" w:space="1"/>
      </w:pBdr>
      <w:tabs>
        <w:tab w:val="center" w:pos="4153"/>
        <w:tab w:val="right" w:pos="8306"/>
      </w:tabs>
      <w:snapToGrid w:val="0"/>
      <w:jc w:val="center"/>
    </w:pPr>
    <w:rPr>
      <w:sz w:val="18"/>
      <w:szCs w:val="18"/>
    </w:rPr>
  </w:style>
  <w:style w:type="table" w:styleId="5">
    <w:name w:val="Table Grid"/>
    <w:basedOn w:val="4"/>
    <w:uiPriority w:val="0"/>
    <w:pPr>
      <w:widowControl w:val="0"/>
      <w:jc w:val="both"/>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页脚 字符"/>
    <w:link w:val="2"/>
    <w:uiPriority w:val="0"/>
    <w:rPr>
      <w:kern w:val="2"/>
      <w:sz w:val="18"/>
      <w:szCs w:val="18"/>
    </w:rPr>
  </w:style>
  <w:style w:type="character" w:customStyle="1" w:styleId="8">
    <w:name w:val="页眉 字符"/>
    <w:link w:val="3"/>
    <w:uiPriority w:val="0"/>
    <w:rPr>
      <w:kern w:val="2"/>
      <w:sz w:val="18"/>
      <w:szCs w:val="18"/>
    </w:rPr>
  </w:style>
  <w:style w:type="table" w:customStyle="1" w:styleId="9">
    <w:name w:val="Table Normal"/>
    <w:unhideWhenUsed/>
    <w:qFormat/>
    <w:uiPriority w:val="0"/>
    <w:rPr>
      <w:lang w:val="en-US" w:eastAsia="zh-CN" w:bidi="ar-SA"/>
    </w:rPr>
    <w:tblPr>
      <w:tblStyle w:val="4"/>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2ndSpAcE</Company>
  <Pages>3</Pages>
  <Words>193</Words>
  <Characters>199</Characters>
  <Lines>7</Lines>
  <Paragraphs>1</Paragraphs>
  <TotalTime>21</TotalTime>
  <ScaleCrop>false</ScaleCrop>
  <LinksUpToDate>false</LinksUpToDate>
  <CharactersWithSpaces>400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2025-09-20T04:26:00Z</dcterms:created>
  <dc:creator>Image</dc:creator>
  <cp:lastModifiedBy>徐洁</cp:lastModifiedBy>
  <cp:lastPrinted>2005-06-05T04:53:00Z</cp:lastPrinted>
  <dcterms:modified xsi:type="dcterms:W3CDTF">2026-02-11T16:10:55Z</dcterms:modified>
  <dc:title>附表八</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BF15433B81A6410B8FC440CA569579A8_13</vt:lpwstr>
  </property>
  <property fmtid="{D5CDD505-2E9C-101B-9397-08002B2CF9AE}" pid="4" name="KSOTemplateDocerSaveRecord">
    <vt:lpwstr>eyJoZGlkIjoiOTc3M2Y5NzIzMDFlZjAyY2Q4Njk5ODkyYjFjNzBiNTQiLCJ1c2VySWQiOiIxNjYxNTQwNjczIn0=</vt:lpwstr>
  </property>
</Properties>
</file>