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7F3DF2E">
      <w:pPr>
        <w:rPr>
          <w:rFonts w:hint="eastAsia" w:eastAsia="仿宋_GB2312"/>
          <w:b/>
          <w:bCs/>
          <w:sz w:val="28"/>
        </w:rPr>
      </w:pPr>
    </w:p>
    <w:p w14:paraId="2B387E5C">
      <w:pPr>
        <w:rPr>
          <w:rFonts w:hint="eastAsia" w:eastAsia="仿宋_GB2312"/>
          <w:b/>
          <w:bCs/>
          <w:sz w:val="28"/>
        </w:rPr>
      </w:pPr>
    </w:p>
    <w:p w14:paraId="118B726E">
      <w:pPr>
        <w:spacing w:line="360" w:lineRule="auto"/>
        <w:jc w:val="center"/>
        <w:rPr>
          <w:rFonts w:hint="eastAsia"/>
          <w:b/>
          <w:bCs/>
          <w:sz w:val="44"/>
          <w:szCs w:val="44"/>
        </w:rPr>
      </w:pPr>
      <w:r>
        <w:rPr>
          <w:rFonts w:hint="eastAsia"/>
          <w:b/>
          <w:bCs/>
          <w:sz w:val="44"/>
          <w:szCs w:val="44"/>
        </w:rPr>
        <w:t>江苏联合职业技术学院相城中专办学点</w:t>
      </w:r>
    </w:p>
    <w:p w14:paraId="6BED630F">
      <w:pPr>
        <w:jc w:val="center"/>
        <w:rPr>
          <w:rFonts w:hint="eastAsia" w:eastAsia="仿宋_GB2312"/>
          <w:b/>
          <w:bCs/>
          <w:spacing w:val="30"/>
          <w:sz w:val="36"/>
        </w:rPr>
      </w:pPr>
    </w:p>
    <w:p w14:paraId="3A190DE0">
      <w:pPr>
        <w:widowControl/>
        <w:kinsoku w:val="0"/>
        <w:autoSpaceDE w:val="0"/>
        <w:autoSpaceDN w:val="0"/>
        <w:adjustRightInd w:val="0"/>
        <w:snapToGrid w:val="0"/>
        <w:jc w:val="center"/>
        <w:textAlignment w:val="baseline"/>
        <w:rPr>
          <w:rFonts w:hint="eastAsia" w:ascii="黑体" w:hAnsi="黑体" w:eastAsia="黑体" w:cs="黑体"/>
          <w:b/>
          <w:bCs/>
          <w:snapToGrid w:val="0"/>
          <w:color w:val="000000"/>
          <w:kern w:val="0"/>
          <w:sz w:val="56"/>
          <w:szCs w:val="56"/>
        </w:rPr>
      </w:pPr>
      <w:r>
        <w:rPr>
          <w:rFonts w:hint="eastAsia" w:ascii="黑体" w:hAnsi="黑体" w:eastAsia="黑体" w:cs="黑体"/>
          <w:b/>
          <w:bCs/>
          <w:snapToGrid w:val="0"/>
          <w:color w:val="000000"/>
          <w:kern w:val="0"/>
          <w:sz w:val="56"/>
          <w:szCs w:val="56"/>
        </w:rPr>
        <w:t>教 师 教 案 本</w:t>
      </w:r>
    </w:p>
    <w:p w14:paraId="16B76C8F">
      <w:pPr>
        <w:jc w:val="center"/>
        <w:rPr>
          <w:rFonts w:hint="eastAsia" w:eastAsia="仿宋_GB2312"/>
          <w:b/>
          <w:bCs/>
          <w:sz w:val="52"/>
        </w:rPr>
      </w:pPr>
    </w:p>
    <w:p w14:paraId="15DAE808">
      <w:pPr>
        <w:spacing w:line="360" w:lineRule="auto"/>
        <w:jc w:val="center"/>
        <w:rPr>
          <w:rFonts w:hint="eastAsia"/>
          <w:sz w:val="28"/>
        </w:rPr>
      </w:pPr>
    </w:p>
    <w:p w14:paraId="64390D01">
      <w:pPr>
        <w:rPr>
          <w:rFonts w:hint="eastAsia" w:ascii="宋体" w:hAnsi="宋体"/>
          <w:sz w:val="28"/>
        </w:rPr>
      </w:pPr>
    </w:p>
    <w:p w14:paraId="5878C7BD">
      <w:pPr>
        <w:jc w:val="center"/>
        <w:rPr>
          <w:rFonts w:hint="eastAsia" w:ascii="宋体" w:hAnsi="宋体"/>
          <w:b/>
          <w:sz w:val="32"/>
        </w:rPr>
      </w:pPr>
      <w:r>
        <w:rPr>
          <w:rFonts w:hint="eastAsia" w:ascii="宋体" w:hAnsi="宋体"/>
          <w:b/>
          <w:sz w:val="32"/>
        </w:rPr>
        <w:t>（20  — 20  学年   第</w:t>
      </w:r>
      <w:r>
        <w:rPr>
          <w:rFonts w:hint="eastAsia" w:ascii="宋体" w:hAnsi="宋体"/>
          <w:b/>
          <w:sz w:val="32"/>
          <w:u w:val="single"/>
        </w:rPr>
        <w:t xml:space="preserve">    </w:t>
      </w:r>
      <w:r>
        <w:rPr>
          <w:rFonts w:hint="eastAsia" w:ascii="宋体" w:hAnsi="宋体"/>
          <w:b/>
          <w:sz w:val="32"/>
        </w:rPr>
        <w:t>学期）</w:t>
      </w:r>
    </w:p>
    <w:p w14:paraId="39E91017">
      <w:pPr>
        <w:jc w:val="center"/>
        <w:rPr>
          <w:rFonts w:hint="eastAsia" w:ascii="宋体" w:hAnsi="宋体"/>
          <w:b/>
          <w:sz w:val="32"/>
        </w:rPr>
      </w:pPr>
    </w:p>
    <w:p w14:paraId="505C9F7E">
      <w:pPr>
        <w:jc w:val="center"/>
        <w:rPr>
          <w:rFonts w:hint="eastAsia" w:ascii="宋体" w:hAnsi="宋体"/>
          <w:sz w:val="32"/>
        </w:rPr>
      </w:pPr>
    </w:p>
    <w:p w14:paraId="5518E3F8">
      <w:pPr>
        <w:jc w:val="center"/>
        <w:rPr>
          <w:rFonts w:hint="eastAsia" w:ascii="宋体" w:hAnsi="宋体"/>
          <w:sz w:val="32"/>
        </w:rPr>
      </w:pPr>
    </w:p>
    <w:tbl>
      <w:tblPr>
        <w:tblStyle w:val="4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87"/>
        <w:gridCol w:w="5835"/>
      </w:tblGrid>
      <w:tr w14:paraId="2FC7FFF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6" w:hRule="atLeast"/>
        </w:trPr>
        <w:tc>
          <w:tcPr>
            <w:tcW w:w="2687" w:type="dxa"/>
            <w:noWrap w:val="0"/>
            <w:vAlign w:val="center"/>
          </w:tcPr>
          <w:p w14:paraId="6F1846C8">
            <w:pPr>
              <w:jc w:val="right"/>
              <w:rPr>
                <w:sz w:val="32"/>
                <w:szCs w:val="32"/>
              </w:rPr>
            </w:pPr>
            <w:r>
              <w:rPr>
                <w:rFonts w:hint="eastAsia"/>
                <w:sz w:val="32"/>
                <w:szCs w:val="32"/>
              </w:rPr>
              <w:t>院    系</w:t>
            </w:r>
          </w:p>
        </w:tc>
        <w:tc>
          <w:tcPr>
            <w:tcW w:w="5835" w:type="dxa"/>
            <w:noWrap w:val="0"/>
            <w:vAlign w:val="center"/>
          </w:tcPr>
          <w:p w14:paraId="68156924">
            <w:pPr>
              <w:rPr>
                <w:sz w:val="32"/>
                <w:szCs w:val="32"/>
              </w:rPr>
            </w:pPr>
            <w:r>
              <w:rPr>
                <w:rFonts w:hint="eastAsia"/>
                <w:sz w:val="32"/>
                <w:szCs w:val="32"/>
                <w:u w:val="single"/>
              </w:rPr>
              <w:t xml:space="preserve">                                   </w:t>
            </w:r>
          </w:p>
        </w:tc>
      </w:tr>
      <w:tr w14:paraId="3DDE05B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6" w:hRule="atLeast"/>
        </w:trPr>
        <w:tc>
          <w:tcPr>
            <w:tcW w:w="2687" w:type="dxa"/>
            <w:noWrap w:val="0"/>
            <w:vAlign w:val="center"/>
          </w:tcPr>
          <w:p w14:paraId="430DBA8A">
            <w:pPr>
              <w:jc w:val="right"/>
              <w:rPr>
                <w:sz w:val="32"/>
                <w:szCs w:val="32"/>
              </w:rPr>
            </w:pPr>
            <w:r>
              <w:rPr>
                <w:rFonts w:hint="eastAsia"/>
                <w:sz w:val="32"/>
                <w:szCs w:val="32"/>
              </w:rPr>
              <w:t>授课班级</w:t>
            </w:r>
          </w:p>
        </w:tc>
        <w:tc>
          <w:tcPr>
            <w:tcW w:w="5835" w:type="dxa"/>
            <w:noWrap w:val="0"/>
            <w:vAlign w:val="center"/>
          </w:tcPr>
          <w:p w14:paraId="4FD52CD6">
            <w:pPr>
              <w:rPr>
                <w:sz w:val="32"/>
                <w:szCs w:val="32"/>
                <w:u w:val="single"/>
              </w:rPr>
            </w:pPr>
            <w:r>
              <w:rPr>
                <w:rFonts w:hint="eastAsia"/>
                <w:sz w:val="32"/>
                <w:szCs w:val="32"/>
                <w:u w:val="single"/>
              </w:rPr>
              <w:t xml:space="preserve">                                    </w:t>
            </w:r>
          </w:p>
        </w:tc>
      </w:tr>
      <w:tr w14:paraId="28BFE39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6" w:hRule="atLeast"/>
        </w:trPr>
        <w:tc>
          <w:tcPr>
            <w:tcW w:w="2687" w:type="dxa"/>
            <w:noWrap w:val="0"/>
            <w:vAlign w:val="center"/>
          </w:tcPr>
          <w:p w14:paraId="4CD41525">
            <w:pPr>
              <w:jc w:val="right"/>
              <w:rPr>
                <w:sz w:val="32"/>
                <w:szCs w:val="32"/>
              </w:rPr>
            </w:pPr>
            <w:r>
              <w:rPr>
                <w:rFonts w:hint="eastAsia"/>
                <w:sz w:val="32"/>
                <w:szCs w:val="32"/>
              </w:rPr>
              <w:t>专业名称</w:t>
            </w:r>
          </w:p>
        </w:tc>
        <w:tc>
          <w:tcPr>
            <w:tcW w:w="5835" w:type="dxa"/>
            <w:noWrap w:val="0"/>
            <w:vAlign w:val="center"/>
          </w:tcPr>
          <w:p w14:paraId="608D2679">
            <w:pPr>
              <w:rPr>
                <w:sz w:val="32"/>
                <w:szCs w:val="32"/>
              </w:rPr>
            </w:pPr>
            <w:r>
              <w:rPr>
                <w:rFonts w:hint="eastAsia"/>
                <w:sz w:val="32"/>
                <w:szCs w:val="32"/>
                <w:u w:val="single"/>
              </w:rPr>
              <w:t xml:space="preserve">                                   </w:t>
            </w:r>
          </w:p>
        </w:tc>
      </w:tr>
      <w:tr w14:paraId="4134CB0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6" w:hRule="atLeast"/>
        </w:trPr>
        <w:tc>
          <w:tcPr>
            <w:tcW w:w="2687" w:type="dxa"/>
            <w:noWrap w:val="0"/>
            <w:vAlign w:val="center"/>
          </w:tcPr>
          <w:p w14:paraId="602647AE">
            <w:pPr>
              <w:jc w:val="right"/>
              <w:rPr>
                <w:sz w:val="32"/>
                <w:szCs w:val="32"/>
              </w:rPr>
            </w:pPr>
            <w:r>
              <w:rPr>
                <w:rFonts w:hint="eastAsia"/>
                <w:sz w:val="32"/>
                <w:szCs w:val="32"/>
              </w:rPr>
              <w:t>课程名称</w:t>
            </w:r>
          </w:p>
        </w:tc>
        <w:tc>
          <w:tcPr>
            <w:tcW w:w="5835" w:type="dxa"/>
            <w:noWrap w:val="0"/>
            <w:vAlign w:val="center"/>
          </w:tcPr>
          <w:p w14:paraId="141BC3F0">
            <w:pPr>
              <w:rPr>
                <w:sz w:val="32"/>
                <w:szCs w:val="32"/>
              </w:rPr>
            </w:pPr>
            <w:r>
              <w:rPr>
                <w:rFonts w:hint="eastAsia"/>
                <w:sz w:val="32"/>
                <w:szCs w:val="32"/>
                <w:u w:val="single"/>
              </w:rPr>
              <w:t xml:space="preserve">                                   </w:t>
            </w:r>
          </w:p>
        </w:tc>
      </w:tr>
      <w:tr w14:paraId="0715EFA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6" w:hRule="atLeast"/>
        </w:trPr>
        <w:tc>
          <w:tcPr>
            <w:tcW w:w="2687" w:type="dxa"/>
            <w:noWrap w:val="0"/>
            <w:vAlign w:val="center"/>
          </w:tcPr>
          <w:p w14:paraId="68922B21">
            <w:pPr>
              <w:jc w:val="right"/>
              <w:rPr>
                <w:sz w:val="32"/>
                <w:szCs w:val="32"/>
              </w:rPr>
            </w:pPr>
            <w:r>
              <w:rPr>
                <w:rFonts w:hint="eastAsia"/>
                <w:sz w:val="32"/>
                <w:szCs w:val="32"/>
              </w:rPr>
              <w:t>授课教师</w:t>
            </w:r>
          </w:p>
        </w:tc>
        <w:tc>
          <w:tcPr>
            <w:tcW w:w="5835" w:type="dxa"/>
            <w:noWrap w:val="0"/>
            <w:vAlign w:val="center"/>
          </w:tcPr>
          <w:p w14:paraId="217D5898">
            <w:pPr>
              <w:rPr>
                <w:sz w:val="32"/>
                <w:szCs w:val="32"/>
              </w:rPr>
            </w:pPr>
            <w:r>
              <w:rPr>
                <w:rFonts w:hint="eastAsia"/>
                <w:sz w:val="32"/>
                <w:szCs w:val="32"/>
                <w:u w:val="single"/>
              </w:rPr>
              <w:t xml:space="preserve">                                   </w:t>
            </w:r>
          </w:p>
        </w:tc>
      </w:tr>
    </w:tbl>
    <w:p w14:paraId="6B31C098">
      <w:pPr>
        <w:jc w:val="center"/>
        <w:rPr>
          <w:sz w:val="32"/>
          <w:szCs w:val="32"/>
        </w:rPr>
      </w:pPr>
    </w:p>
    <w:p w14:paraId="06319883">
      <w:pPr>
        <w:jc w:val="center"/>
        <w:rPr>
          <w:rFonts w:hint="eastAsia" w:ascii="宋体" w:hAnsi="宋体"/>
          <w:sz w:val="32"/>
        </w:rPr>
      </w:pPr>
    </w:p>
    <w:p w14:paraId="39FCA139">
      <w:pPr>
        <w:jc w:val="center"/>
        <w:rPr>
          <w:rFonts w:hint="eastAsia" w:ascii="宋体" w:hAnsi="宋体"/>
          <w:sz w:val="32"/>
        </w:rPr>
      </w:pPr>
    </w:p>
    <w:p w14:paraId="327F7D7D">
      <w:pPr>
        <w:jc w:val="center"/>
        <w:rPr>
          <w:rFonts w:hint="eastAsia" w:ascii="宋体" w:hAnsi="宋体"/>
          <w:sz w:val="32"/>
        </w:rPr>
      </w:pPr>
    </w:p>
    <w:p w14:paraId="50627E9F">
      <w:pPr>
        <w:rPr>
          <w:rFonts w:hint="eastAsia"/>
          <w:sz w:val="10"/>
        </w:rPr>
      </w:pPr>
    </w:p>
    <w:tbl>
      <w:tblPr>
        <w:tblStyle w:val="4"/>
        <w:tblW w:w="4756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74"/>
        <w:gridCol w:w="1147"/>
        <w:gridCol w:w="1276"/>
        <w:gridCol w:w="1341"/>
        <w:gridCol w:w="1306"/>
        <w:gridCol w:w="2291"/>
      </w:tblGrid>
      <w:tr w14:paraId="23E3DD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5" w:hRule="atLeast"/>
        </w:trPr>
        <w:tc>
          <w:tcPr>
            <w:tcW w:w="834" w:type="pct"/>
            <w:noWrap w:val="0"/>
            <w:vAlign w:val="center"/>
          </w:tcPr>
          <w:p w14:paraId="1E35969B">
            <w:pPr>
              <w:spacing w:before="156" w:beforeLines="50" w:after="156" w:afterLines="50"/>
              <w:jc w:val="center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课题名称</w:t>
            </w:r>
          </w:p>
        </w:tc>
        <w:tc>
          <w:tcPr>
            <w:tcW w:w="4165" w:type="pct"/>
            <w:gridSpan w:val="5"/>
            <w:noWrap w:val="0"/>
            <w:vAlign w:val="center"/>
          </w:tcPr>
          <w:p>
            <w:pPr>
              <w:jc w:val="left"/>
            </w:pPr>
            <w:r>
              <w:t>电子元器件认识</w:t>
            </w:r>
          </w:p>
        </w:tc>
      </w:tr>
      <w:tr w14:paraId="146AE1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2" w:hRule="atLeast"/>
        </w:trPr>
        <w:tc>
          <w:tcPr>
            <w:tcW w:w="834" w:type="pct"/>
            <w:noWrap w:val="0"/>
            <w:vAlign w:val="center"/>
          </w:tcPr>
          <w:p w14:paraId="134B192F">
            <w:pPr>
              <w:spacing w:before="156" w:beforeLines="50" w:after="156" w:afterLines="50"/>
              <w:jc w:val="center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授课班级</w:t>
            </w:r>
          </w:p>
        </w:tc>
        <w:tc>
          <w:tcPr>
            <w:tcW w:w="2130" w:type="pct"/>
            <w:gridSpan w:val="3"/>
            <w:noWrap w:val="0"/>
            <w:vAlign w:val="center"/>
          </w:tcPr>
          <w:p>
            <w:pPr>
              <w:jc w:val="left"/>
            </w:pPr>
            <w:r>
              <w:t>电气自动化（2）班</w:t>
            </w:r>
          </w:p>
        </w:tc>
        <w:tc>
          <w:tcPr>
            <w:tcW w:w="739" w:type="pct"/>
            <w:noWrap w:val="0"/>
            <w:vAlign w:val="center"/>
          </w:tcPr>
          <w:p w14:paraId="3EC8CD94">
            <w:pPr>
              <w:spacing w:before="156" w:beforeLines="50" w:after="156" w:afterLines="50"/>
              <w:jc w:val="center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授课地点</w:t>
            </w:r>
          </w:p>
        </w:tc>
        <w:tc>
          <w:tcPr>
            <w:tcW w:w="1295" w:type="pct"/>
            <w:noWrap w:val="0"/>
            <w:vAlign w:val="center"/>
          </w:tcPr>
          <w:p>
            <w:pPr>
              <w:jc w:val="left"/>
            </w:pPr>
            <w:r>
              <w:t>电子实训室</w:t>
            </w:r>
          </w:p>
        </w:tc>
      </w:tr>
      <w:tr w14:paraId="5BDDF8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68" w:hRule="atLeast"/>
        </w:trPr>
        <w:tc>
          <w:tcPr>
            <w:tcW w:w="834" w:type="pct"/>
            <w:noWrap w:val="0"/>
            <w:vAlign w:val="center"/>
          </w:tcPr>
          <w:p w14:paraId="05FF524D">
            <w:pPr>
              <w:spacing w:before="156" w:beforeLines="50" w:after="156" w:afterLines="50"/>
              <w:jc w:val="center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授课时间</w:t>
            </w:r>
          </w:p>
        </w:tc>
        <w:tc>
          <w:tcPr>
            <w:tcW w:w="649" w:type="pct"/>
            <w:noWrap w:val="0"/>
            <w:vAlign w:val="center"/>
          </w:tcPr>
          <w:p>
            <w:pPr>
              <w:jc w:val="left"/>
            </w:pPr>
            <w:r>
              <w:t>2026年2月15日</w:t>
            </w:r>
          </w:p>
        </w:tc>
        <w:tc>
          <w:tcPr>
            <w:tcW w:w="722" w:type="pct"/>
            <w:noWrap w:val="0"/>
            <w:vAlign w:val="center"/>
          </w:tcPr>
          <w:p w14:paraId="3CB75E9A">
            <w:pPr>
              <w:spacing w:before="156" w:beforeLines="50" w:after="156" w:afterLines="50"/>
              <w:jc w:val="center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授课学时</w:t>
            </w:r>
          </w:p>
        </w:tc>
        <w:tc>
          <w:tcPr>
            <w:tcW w:w="758" w:type="pct"/>
            <w:noWrap w:val="0"/>
            <w:vAlign w:val="center"/>
          </w:tcPr>
          <w:p>
            <w:pPr>
              <w:jc w:val="left"/>
            </w:pPr>
            <w:r>
              <w:t>2学时</w:t>
            </w:r>
          </w:p>
        </w:tc>
        <w:tc>
          <w:tcPr>
            <w:tcW w:w="739" w:type="pct"/>
            <w:noWrap w:val="0"/>
            <w:vAlign w:val="center"/>
          </w:tcPr>
          <w:p w14:paraId="3D7902E7">
            <w:pPr>
              <w:spacing w:before="156" w:beforeLines="50" w:after="156" w:afterLines="50"/>
              <w:jc w:val="center"/>
              <w:rPr>
                <w:rFonts w:hint="eastAsia"/>
                <w:sz w:val="24"/>
              </w:rPr>
            </w:pPr>
            <w:r>
              <w:rPr>
                <w:rFonts w:hint="eastAsia" w:ascii="宋体" w:hAnsi="宋体" w:cs="宋体"/>
                <w:spacing w:val="8"/>
              </w:rPr>
              <w:t>授</w:t>
            </w:r>
            <w:r>
              <w:rPr>
                <w:rFonts w:hint="eastAsia" w:ascii="宋体" w:hAnsi="宋体" w:cs="宋体"/>
                <w:spacing w:val="6"/>
              </w:rPr>
              <w:t>课类型</w:t>
            </w:r>
          </w:p>
        </w:tc>
        <w:tc>
          <w:tcPr>
            <w:tcW w:w="1295" w:type="pct"/>
            <w:noWrap w:val="0"/>
            <w:vAlign w:val="center"/>
          </w:tcPr>
          <w:p>
            <w:pPr>
              <w:jc w:val="left"/>
            </w:pPr>
            <w:r>
              <w:rPr>
                <w:rFonts w:ascii="宋体" w:hAnsi="宋体"/>
              </w:rPr>
              <w:t>理论课</w:t>
            </w:r>
          </w:p>
        </w:tc>
      </w:tr>
      <w:tr w14:paraId="076EB7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1" w:hRule="atLeast"/>
        </w:trPr>
        <w:tc>
          <w:tcPr>
            <w:tcW w:w="834" w:type="pct"/>
            <w:noWrap w:val="0"/>
            <w:vAlign w:val="center"/>
          </w:tcPr>
          <w:p w14:paraId="0BC5AD97">
            <w:pPr>
              <w:spacing w:before="156" w:beforeLines="50" w:after="156" w:afterLines="50" w:line="320" w:lineRule="exact"/>
              <w:jc w:val="center"/>
              <w:rPr>
                <w:rFonts w:hint="eastAsia"/>
                <w:sz w:val="24"/>
              </w:rPr>
            </w:pPr>
            <w:r>
              <w:rPr>
                <w:rFonts w:hint="eastAsia" w:ascii="宋体" w:hAnsi="宋体" w:cs="宋体"/>
                <w:spacing w:val="4"/>
              </w:rPr>
              <w:t>教学内容及学情分析</w:t>
            </w:r>
          </w:p>
        </w:tc>
        <w:tc>
          <w:tcPr>
            <w:tcW w:w="4165" w:type="pct"/>
            <w:gridSpan w:val="5"/>
            <w:noWrap w:val="0"/>
            <w:vAlign w:val="center"/>
          </w:tcPr>
          <w:p>
            <w:pPr>
              <w:jc w:val="left"/>
            </w:pPr>
            <w:r>
              <w:t>【教学内容】</w:t>
              <w:br/>
              <w:t>本节课是《电子焊接》课程的基础模块，主要内容是认识常用电子元器件。具体包括：1. 电阻器、电容器、电感器等无源元件的符号、外观、主要参数（如阻值、容值、感值）及识别方法（色环法、直标法）。2. 二极管、三极管等半导体器件的符号、引脚识别（如二极管正负极、三极管E/B/C极）及基本功能。3. 集成电路（IC）的常见封装（如DIP、SOP）及引脚顺序识别。4. 元器件在电路图中的表示方法及其在实物电路板上的对应关系。教学将结合实物展示、参数测量和电路图对照进行，为后续焊接实操奠定坚实的认知基础。</w:t>
              <w:br/>
              <w:t>【学情分析】</w:t>
              <w:br/>
              <w:t>授课对象为电气自动化专业二年级学生，已具备《电工基础》、《电路分析》等前导课程知识，对电流、电压、电路等基本概念有初步理解。学生动手意愿较强，对实物操作兴趣浓厚，但缺乏对电子元器件实物的直观认识和系统梳理。可能遇到的困难包括：对色环电阻、极性电容等元件的参数读取和极性判断容易混淆；对表面贴装元件（SMD）等小型化器件感到陌生；将抽象的电路符号与具体实物对应起来存在一定障碍。需要教师通过直观演示和反复练习来突破。</w:t>
            </w:r>
          </w:p>
        </w:tc>
      </w:tr>
      <w:tr w14:paraId="7AA8CF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51" w:hRule="atLeast"/>
        </w:trPr>
        <w:tc>
          <w:tcPr>
            <w:tcW w:w="1474" w:type="dxa"/>
            <w:noWrap w:val="0"/>
            <w:vAlign w:val="center"/>
          </w:tcPr>
          <w:p w14:paraId="09F71C7E">
            <w:pPr>
              <w:jc w:val="center"/>
              <w:rPr>
                <w:rFonts w:hint="eastAsia"/>
                <w:sz w:val="24"/>
              </w:rPr>
            </w:pPr>
            <w:r>
              <w:rPr>
                <w:rFonts w:hint="eastAsia" w:ascii="宋体" w:hAnsi="宋体" w:cs="宋体"/>
                <w:spacing w:val="7"/>
              </w:rPr>
              <w:t>教学目</w:t>
            </w:r>
            <w:r>
              <w:rPr>
                <w:rFonts w:hint="eastAsia" w:ascii="宋体" w:hAnsi="宋体" w:cs="宋体"/>
                <w:spacing w:val="6"/>
              </w:rPr>
              <w:t>标</w:t>
            </w:r>
          </w:p>
        </w:tc>
        <w:tc>
          <w:tcPr>
            <w:tcW w:w="7361" w:type="dxa"/>
            <w:gridSpan w:val="5"/>
            <w:noWrap w:val="0"/>
            <w:vAlign w:val="center"/>
          </w:tcPr>
          <w:p>
            <w:pPr>
              <w:jc w:val="left"/>
            </w:pPr>
            <w:r>
              <w:t>1. 知识目标：掌握电阻、电容、电感、二极管、三极管等常用电子元器件的图形符号、外观特征、主要参数及标识方法；理解元器件极性、引脚定义及在电路中的作用。</w:t>
              <w:br/>
              <w:t>2. 能力目标：能独立识别和区分各类常见电子元器件，能正确读取色环电阻阻值、判断电容极性及三极管引脚；具备将电路原理图符号与实物元器件对应起来的基本能力。</w:t>
              <w:br/>
              <w:t>3. 素质目标：培养严谨细致、规范操作的工作意识，树立精益求精的工匠精神；增强安全操作和元器件保护意识。</w:t>
            </w:r>
          </w:p>
        </w:tc>
      </w:tr>
      <w:tr w14:paraId="161BFC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8" w:hRule="atLeast"/>
        </w:trPr>
        <w:tc>
          <w:tcPr>
            <w:tcW w:w="1474" w:type="dxa"/>
            <w:noWrap w:val="0"/>
            <w:vAlign w:val="center"/>
          </w:tcPr>
          <w:p w14:paraId="56A85BD8">
            <w:pPr>
              <w:jc w:val="center"/>
              <w:rPr>
                <w:rFonts w:hint="eastAsia"/>
                <w:sz w:val="24"/>
              </w:rPr>
            </w:pPr>
            <w:r>
              <w:rPr>
                <w:rFonts w:hint="eastAsia" w:ascii="宋体" w:hAnsi="宋体" w:cs="宋体"/>
                <w:spacing w:val="7"/>
              </w:rPr>
              <w:t>教学重</w:t>
            </w:r>
            <w:r>
              <w:rPr>
                <w:rFonts w:hint="eastAsia" w:ascii="宋体" w:hAnsi="宋体" w:cs="宋体"/>
                <w:spacing w:val="6"/>
              </w:rPr>
              <w:t>点</w:t>
            </w:r>
          </w:p>
        </w:tc>
        <w:tc>
          <w:tcPr>
            <w:tcW w:w="4165" w:type="pct"/>
            <w:gridSpan w:val="5"/>
            <w:noWrap w:val="0"/>
            <w:vAlign w:val="center"/>
          </w:tcPr>
          <w:p>
            <w:pPr>
              <w:jc w:val="left"/>
            </w:pPr>
            <w:r>
              <w:t>1. 重点1：常用电子元器件（电阻、电容、二极管、三极管）的符号识别与实物对应</w:t>
              <w:br/>
              <w:t>2. 重点2：元器件主要参数的识读方法（色环电阻、电容容值/耐压）</w:t>
              <w:br/>
              <w:t>3. 重点3：元器件极性及引脚的正确识别，避免因误接导致损坏</w:t>
            </w:r>
          </w:p>
        </w:tc>
      </w:tr>
      <w:tr w14:paraId="3825DB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08" w:hRule="atLeast"/>
        </w:trPr>
        <w:tc>
          <w:tcPr>
            <w:tcW w:w="1474" w:type="dxa"/>
            <w:noWrap w:val="0"/>
            <w:vAlign w:val="center"/>
          </w:tcPr>
          <w:p w14:paraId="5A73D64C">
            <w:pPr>
              <w:jc w:val="center"/>
              <w:rPr>
                <w:rFonts w:hint="eastAsia"/>
                <w:sz w:val="24"/>
              </w:rPr>
            </w:pPr>
            <w:r>
              <w:rPr>
                <w:rFonts w:hint="eastAsia" w:ascii="宋体" w:hAnsi="宋体" w:cs="宋体"/>
                <w:spacing w:val="7"/>
              </w:rPr>
              <w:t>教学难</w:t>
            </w:r>
            <w:r>
              <w:rPr>
                <w:rFonts w:hint="eastAsia" w:ascii="宋体" w:hAnsi="宋体" w:cs="宋体"/>
                <w:spacing w:val="6"/>
              </w:rPr>
              <w:t>点</w:t>
            </w:r>
          </w:p>
        </w:tc>
        <w:tc>
          <w:tcPr>
            <w:tcW w:w="4165" w:type="pct"/>
            <w:gridSpan w:val="5"/>
            <w:noWrap w:val="0"/>
            <w:vAlign w:val="center"/>
          </w:tcPr>
          <w:p>
            <w:pPr>
              <w:jc w:val="left"/>
            </w:pPr>
            <w:r>
              <w:t>1. 难点1：色环电阻色码的快速准确识读与记忆</w:t>
              <w:br/>
              <w:t>2. 难点2：三极管（NPN/PNP）类型判断及E/B/C引脚的区分</w:t>
            </w:r>
          </w:p>
        </w:tc>
      </w:tr>
      <w:tr w14:paraId="7494D7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64" w:hRule="atLeast"/>
        </w:trPr>
        <w:tc>
          <w:tcPr>
            <w:tcW w:w="1474" w:type="dxa"/>
            <w:noWrap w:val="0"/>
            <w:vAlign w:val="center"/>
          </w:tcPr>
          <w:p w14:paraId="0687A3ED">
            <w:pPr>
              <w:jc w:val="center"/>
              <w:rPr>
                <w:sz w:val="24"/>
              </w:rPr>
            </w:pPr>
            <w:r>
              <w:rPr>
                <w:rFonts w:hint="eastAsia" w:ascii="宋体" w:hAnsi="宋体" w:cs="宋体"/>
                <w:spacing w:val="7"/>
              </w:rPr>
              <w:t>教学方法与教学资源</w:t>
            </w:r>
          </w:p>
        </w:tc>
        <w:tc>
          <w:tcPr>
            <w:tcW w:w="4165" w:type="pct"/>
            <w:gridSpan w:val="5"/>
            <w:noWrap w:val="0"/>
            <w:vAlign w:val="center"/>
          </w:tcPr>
          <w:p>
            <w:pPr>
              <w:jc w:val="left"/>
            </w:pPr>
            <w:r>
              <w:t>【教学方法】</w:t>
              <w:br/>
              <w:t>任务驱动法、直观演示法、小组讨论法、练习法</w:t>
              <w:br/>
              <w:t>【教学资源】</w:t>
              <w:br/>
              <w:t>多媒体课件（含元器件图片、电路符号）、各类电子元器件实物套件（含直插与贴片）、万用表、放大镜、元器件识别任务卡、实训工作台</w:t>
            </w:r>
          </w:p>
        </w:tc>
      </w:tr>
      <w:tr w14:paraId="58D964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81" w:hRule="atLeast"/>
        </w:trPr>
        <w:tc>
          <w:tcPr>
            <w:tcW w:w="1474" w:type="dxa"/>
            <w:noWrap w:val="0"/>
            <w:vAlign w:val="center"/>
          </w:tcPr>
          <w:p w14:paraId="01DC87C6">
            <w:pPr>
              <w:jc w:val="center"/>
              <w:rPr>
                <w:rFonts w:hint="eastAsia"/>
                <w:sz w:val="24"/>
              </w:rPr>
            </w:pPr>
            <w:r>
              <w:rPr>
                <w:rFonts w:hint="eastAsia" w:ascii="宋体" w:hAnsi="宋体" w:cs="宋体"/>
                <w:spacing w:val="7"/>
              </w:rPr>
              <w:t>思政元素</w:t>
            </w:r>
          </w:p>
        </w:tc>
        <w:tc>
          <w:tcPr>
            <w:tcW w:w="4165" w:type="pct"/>
            <w:gridSpan w:val="5"/>
            <w:noWrap w:val="0"/>
            <w:vAlign w:val="center"/>
          </w:tcPr>
          <w:p>
            <w:pPr>
              <w:jc w:val="left"/>
            </w:pPr>
            <w:r>
              <w:t>1. 思政点1：通过介绍我国在电子元器件制造领域从追赶到部分领先的发展历程，增强民族自豪感和科技自立自强的信念。</w:t>
              <w:br/>
              <w:t>2. 思政点2：强调元器件识别是电子工艺的基础，引导学生认识到‘差之毫厘，谬以千里’，培养一丝不苟、精益求精的工匠精神。</w:t>
              <w:br/>
              <w:t>3. 思政点3：在小组协作完成任务过程中，培养团队沟通与协作意识；强调静电防护和规范操作，树立安全第一的职业素养。</w:t>
              <w:br/>
              <w:t>4. 思政点4：联系当前‘卡脖子’技术问题，激发学生学好基础知识、投身核心元器件研发的责任感与使命感。</w:t>
            </w:r>
          </w:p>
        </w:tc>
      </w:tr>
    </w:tbl>
    <w:p w14:paraId="7BD3B59A">
      <w:pPr>
        <w:rPr>
          <w:rFonts w:hint="eastAsia"/>
          <w:sz w:val="10"/>
        </w:rPr>
      </w:pPr>
    </w:p>
    <w:p w14:paraId="62EA29CF">
      <w:pPr>
        <w:rPr>
          <w:rFonts w:hint="eastAsia"/>
          <w:sz w:val="10"/>
        </w:rPr>
      </w:pPr>
    </w:p>
    <w:p w14:paraId="46A890A1">
      <w:pPr>
        <w:rPr>
          <w:rFonts w:hint="eastAsia"/>
          <w:sz w:val="10"/>
        </w:rPr>
      </w:pPr>
    </w:p>
    <w:p w14:paraId="33FF7DAE">
      <w:pPr>
        <w:rPr>
          <w:rFonts w:hint="eastAsia"/>
          <w:sz w:val="10"/>
        </w:rPr>
      </w:pPr>
    </w:p>
    <w:p w14:paraId="0B813D31">
      <w:pPr>
        <w:rPr>
          <w:rFonts w:hint="eastAsia"/>
          <w:sz w:val="10"/>
        </w:rPr>
      </w:pPr>
    </w:p>
    <w:tbl>
      <w:tblPr>
        <w:tblStyle w:val="4"/>
        <w:tblpPr w:leftFromText="181" w:rightFromText="181" w:vertAnchor="text" w:horzAnchor="page" w:tblpXSpec="center" w:tblpY="120"/>
        <w:tblOverlap w:val="never"/>
        <w:tblW w:w="8918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val="clear" w:color="auto" w:fill="FFFFFF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4"/>
        <w:gridCol w:w="4832"/>
        <w:gridCol w:w="1555"/>
        <w:gridCol w:w="1217"/>
      </w:tblGrid>
      <w:tr w14:paraId="7892449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atLeast"/>
          <w:jc w:val="center"/>
        </w:trPr>
        <w:tc>
          <w:tcPr>
            <w:tcW w:w="8918" w:type="dxa"/>
            <w:gridSpan w:val="4"/>
            <w:tcBorders>
              <w:top w:val="single" w:color="000000" w:sz="2" w:space="0"/>
              <w:bottom w:val="single" w:color="000000" w:sz="2" w:space="0"/>
            </w:tcBorders>
            <w:shd w:val="clear" w:color="auto" w:fill="FFFFFF"/>
            <w:noWrap w:val="0"/>
            <w:vAlign w:val="center"/>
          </w:tcPr>
          <w:p w14:paraId="773C77B7">
            <w:pPr>
              <w:jc w:val="center"/>
              <w:rPr>
                <w:rFonts w:ascii="黑体" w:hAnsi="黑体" w:eastAsia="黑体" w:cs="黑体"/>
                <w:spacing w:val="14"/>
                <w:sz w:val="28"/>
                <w:szCs w:val="28"/>
              </w:rPr>
            </w:pPr>
            <w:bookmarkStart w:id="0" w:name="_GoBack"/>
            <w:r>
              <w:rPr>
                <w:rFonts w:ascii="黑体" w:hAnsi="黑体" w:eastAsia="黑体" w:cs="黑体"/>
                <w:spacing w:val="14"/>
                <w:sz w:val="28"/>
                <w:szCs w:val="28"/>
              </w:rPr>
              <w:t>教</w:t>
            </w:r>
            <w:r>
              <w:rPr>
                <w:rFonts w:ascii="黑体" w:hAnsi="黑体" w:eastAsia="黑体" w:cs="黑体"/>
                <w:spacing w:val="7"/>
                <w:sz w:val="28"/>
                <w:szCs w:val="28"/>
              </w:rPr>
              <w:t xml:space="preserve"> 学 实 施 过 程</w:t>
            </w:r>
            <w:bookmarkEnd w:id="0"/>
          </w:p>
        </w:tc>
      </w:tr>
      <w:tr w14:paraId="050450F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0" w:hRule="atLeast"/>
          <w:jc w:val="center"/>
        </w:trPr>
        <w:tc>
          <w:tcPr>
            <w:tcW w:w="1314" w:type="dxa"/>
            <w:tcBorders>
              <w:top w:val="single" w:color="000000" w:sz="2" w:space="0"/>
              <w:bottom w:val="single" w:color="000000" w:sz="2" w:space="0"/>
            </w:tcBorders>
            <w:shd w:val="clear" w:color="auto" w:fill="FFFFFF"/>
            <w:noWrap w:val="0"/>
            <w:vAlign w:val="center"/>
          </w:tcPr>
          <w:p w14:paraId="03289E6A"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/>
                <w:spacing w:val="9"/>
              </w:rPr>
              <w:t>教</w:t>
            </w:r>
            <w:r>
              <w:rPr>
                <w:rFonts w:ascii="宋体" w:hAnsi="宋体" w:cs="宋体"/>
                <w:spacing w:val="7"/>
              </w:rPr>
              <w:t>学环节</w:t>
            </w:r>
            <w:r>
              <w:rPr>
                <w:rFonts w:hint="eastAsia" w:ascii="宋体" w:hAnsi="宋体" w:cs="宋体"/>
                <w:spacing w:val="7"/>
              </w:rPr>
              <w:t>及时间分配</w:t>
            </w:r>
          </w:p>
        </w:tc>
        <w:tc>
          <w:tcPr>
            <w:tcW w:w="4832" w:type="dxa"/>
            <w:tcBorders>
              <w:top w:val="single" w:color="000000" w:sz="2" w:space="0"/>
              <w:bottom w:val="single" w:color="000000" w:sz="2" w:space="0"/>
            </w:tcBorders>
            <w:shd w:val="clear" w:color="auto" w:fill="FFFFFF"/>
            <w:noWrap w:val="0"/>
            <w:vAlign w:val="center"/>
          </w:tcPr>
          <w:p w14:paraId="6DE1A651"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/>
                <w:spacing w:val="9"/>
              </w:rPr>
              <w:t>教</w:t>
            </w:r>
            <w:r>
              <w:rPr>
                <w:rFonts w:ascii="宋体" w:hAnsi="宋体" w:cs="宋体"/>
                <w:spacing w:val="7"/>
              </w:rPr>
              <w:t>学内容</w:t>
            </w:r>
          </w:p>
        </w:tc>
        <w:tc>
          <w:tcPr>
            <w:tcW w:w="1555" w:type="dxa"/>
            <w:tcBorders>
              <w:top w:val="single" w:color="000000" w:sz="2" w:space="0"/>
              <w:bottom w:val="single" w:color="000000" w:sz="2" w:space="0"/>
            </w:tcBorders>
            <w:shd w:val="clear" w:color="auto" w:fill="FFFFFF"/>
            <w:noWrap w:val="0"/>
            <w:vAlign w:val="center"/>
          </w:tcPr>
          <w:p w14:paraId="25E73364"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/>
                <w:spacing w:val="9"/>
              </w:rPr>
              <w:t>教</w:t>
            </w:r>
            <w:r>
              <w:rPr>
                <w:rFonts w:ascii="宋体" w:hAnsi="宋体" w:cs="宋体"/>
                <w:spacing w:val="7"/>
              </w:rPr>
              <w:t>师活动</w:t>
            </w:r>
          </w:p>
        </w:tc>
        <w:tc>
          <w:tcPr>
            <w:tcW w:w="1217" w:type="dxa"/>
            <w:tcBorders>
              <w:top w:val="single" w:color="000000" w:sz="2" w:space="0"/>
              <w:bottom w:val="single" w:color="000000" w:sz="2" w:space="0"/>
            </w:tcBorders>
            <w:shd w:val="clear" w:color="auto" w:fill="FFFFFF"/>
            <w:noWrap w:val="0"/>
            <w:vAlign w:val="center"/>
          </w:tcPr>
          <w:p w14:paraId="44D6E46D"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/>
                <w:spacing w:val="7"/>
              </w:rPr>
              <w:t>学生活动</w:t>
            </w:r>
          </w:p>
        </w:tc>
      </w:tr>
      <w:tr>
        <w:tc>
          <w:tcPr>
            <w:tcW w:type="dxa" w:w="1314"/>
            <w:vAlign w:val="center"/>
          </w:tcPr>
          <w:p>
            <w:pPr>
              <w:jc w:val="left"/>
            </w:pPr>
            <w:r>
              <w:t>任务导入与目标明确（10min）</w:t>
            </w:r>
          </w:p>
        </w:tc>
        <w:tc>
          <w:tcPr>
            <w:tcW w:type="dxa" w:w="4832"/>
            <w:vAlign w:val="center"/>
          </w:tcPr>
          <w:p>
            <w:pPr>
              <w:jc w:val="left"/>
            </w:pPr>
            <w:r>
              <w:t>展示一个功能简单的电路板（如闪烁LED），提问其由哪些基本部件构成。引出认识元器件是焊接与维修的基础。明确本节课的学习任务与目标。</w:t>
            </w:r>
          </w:p>
        </w:tc>
        <w:tc>
          <w:tcPr>
            <w:tcW w:type="dxa" w:w="1555"/>
            <w:vAlign w:val="center"/>
          </w:tcPr>
          <w:p>
            <w:pPr>
              <w:jc w:val="left"/>
            </w:pPr>
            <w:r>
              <w:t>展示实物，提问引导，播放简短导入视频，讲解课程目标与任务。</w:t>
            </w:r>
          </w:p>
        </w:tc>
        <w:tc>
          <w:tcPr>
            <w:tcW w:type="dxa" w:w="1217"/>
            <w:vAlign w:val="center"/>
          </w:tcPr>
          <w:p>
            <w:pPr>
              <w:jc w:val="left"/>
            </w:pPr>
            <w:r>
              <w:t>观察思考，回答问题，明确学习任务和目标。</w:t>
            </w:r>
          </w:p>
        </w:tc>
      </w:tr>
      <w:tr>
        <w:tc>
          <w:tcPr>
            <w:tcW w:type="dxa" w:w="1314"/>
            <w:vAlign w:val="center"/>
          </w:tcPr>
          <w:p>
            <w:pPr>
              <w:jc w:val="left"/>
            </w:pPr>
            <w:r>
              <w:t>新知讲解与实物辨识（30min）</w:t>
            </w:r>
          </w:p>
        </w:tc>
        <w:tc>
          <w:tcPr>
            <w:tcW w:type="dxa" w:w="4832"/>
            <w:vAlign w:val="center"/>
          </w:tcPr>
          <w:p>
            <w:pPr>
              <w:jc w:val="left"/>
            </w:pPr>
            <w:r>
              <w:t>系统讲解电阻、电容、电感、二极管、三极管、集成电路的电路符号、实物外观、主要参数及标识方法。重点演示色环电阻读法、电容极性判断、三极管引脚识别。</w:t>
            </w:r>
          </w:p>
        </w:tc>
        <w:tc>
          <w:tcPr>
            <w:tcW w:type="dxa" w:w="1555"/>
            <w:vAlign w:val="center"/>
          </w:tcPr>
          <w:p>
            <w:pPr>
              <w:jc w:val="left"/>
            </w:pPr>
            <w:r>
              <w:t>利用PPT结合实物进行讲解与演示，巡回展示元器件实物，解答学生疑问。</w:t>
            </w:r>
          </w:p>
        </w:tc>
        <w:tc>
          <w:tcPr>
            <w:tcW w:type="dxa" w:w="1217"/>
            <w:vAlign w:val="center"/>
          </w:tcPr>
          <w:p>
            <w:pPr>
              <w:jc w:val="left"/>
            </w:pPr>
            <w:r>
              <w:t>听讲、观察、记录要点，跟随教师指导辨识手边的元器件样品。</w:t>
            </w:r>
          </w:p>
        </w:tc>
      </w:tr>
      <w:tr>
        <w:tc>
          <w:tcPr>
            <w:tcW w:type="dxa" w:w="1314"/>
            <w:vAlign w:val="center"/>
          </w:tcPr>
          <w:p>
            <w:pPr>
              <w:jc w:val="left"/>
            </w:pPr>
            <w:r>
              <w:t>任务驱动与分组实践（40min）</w:t>
            </w:r>
          </w:p>
        </w:tc>
        <w:tc>
          <w:tcPr>
            <w:tcW w:type="dxa" w:w="4832"/>
            <w:vAlign w:val="center"/>
          </w:tcPr>
          <w:p>
            <w:pPr>
              <w:jc w:val="left"/>
            </w:pPr>
            <w:r>
              <w:t>学生分组，领取“元器件识别任务卡”。任务包括：1. 对混合元器件进行分类。2. 读取指定电阻的阻值和误差。3. 判断指定电容的极性及容值。4. 用万用表判别二极管正负极及三极管类型与引脚。</w:t>
            </w:r>
          </w:p>
        </w:tc>
        <w:tc>
          <w:tcPr>
            <w:tcW w:type="dxa" w:w="1555"/>
            <w:vAlign w:val="center"/>
          </w:tcPr>
          <w:p>
            <w:pPr>
              <w:jc w:val="left"/>
            </w:pPr>
            <w:r>
              <w:t>发布任务，巡视指导，纠正错误操作，提示安全规范，解答疑难。</w:t>
            </w:r>
          </w:p>
        </w:tc>
        <w:tc>
          <w:tcPr>
            <w:tcW w:type="dxa" w:w="1217"/>
            <w:vAlign w:val="center"/>
          </w:tcPr>
          <w:p>
            <w:pPr>
              <w:jc w:val="left"/>
            </w:pPr>
            <w:r>
              <w:t>小组协作，根据任务卡要求，利用工具和所学知识完成元器件识别与测量任务，并记录结果。</w:t>
            </w:r>
          </w:p>
        </w:tc>
      </w:tr>
      <w:tr>
        <w:tc>
          <w:tcPr>
            <w:tcW w:type="dxa" w:w="1314"/>
            <w:vAlign w:val="center"/>
          </w:tcPr>
          <w:p>
            <w:pPr>
              <w:jc w:val="left"/>
            </w:pPr>
            <w:r>
              <w:t>成果展示与点评纠错（15min）</w:t>
            </w:r>
          </w:p>
        </w:tc>
        <w:tc>
          <w:tcPr>
            <w:tcW w:type="dxa" w:w="4832"/>
            <w:vAlign w:val="center"/>
          </w:tcPr>
          <w:p>
            <w:pPr>
              <w:jc w:val="left"/>
            </w:pPr>
            <w:r>
              <w:t>随机抽取小组展示任务成果，重点展示易错点（如色环读错、极性判反）。教师进行集中点评与纠正，总结常见错误及规避方法。</w:t>
            </w:r>
          </w:p>
        </w:tc>
        <w:tc>
          <w:tcPr>
            <w:tcW w:type="dxa" w:w="1555"/>
            <w:vAlign w:val="center"/>
          </w:tcPr>
          <w:p>
            <w:pPr>
              <w:jc w:val="left"/>
            </w:pPr>
            <w:r>
              <w:t>组织展示，点评成果，强调易错点，进行正确操作再示范。</w:t>
            </w:r>
          </w:p>
        </w:tc>
        <w:tc>
          <w:tcPr>
            <w:tcW w:type="dxa" w:w="1217"/>
            <w:vAlign w:val="center"/>
          </w:tcPr>
          <w:p>
            <w:pPr>
              <w:jc w:val="left"/>
            </w:pPr>
            <w:r>
              <w:t>小组代表展示并讲解，其他小组评价与学习，对照纠正自己的错误。</w:t>
            </w:r>
          </w:p>
        </w:tc>
      </w:tr>
      <w:tr>
        <w:tc>
          <w:tcPr>
            <w:tcW w:type="dxa" w:w="1314"/>
            <w:vAlign w:val="center"/>
          </w:tcPr>
          <w:p>
            <w:pPr>
              <w:jc w:val="left"/>
            </w:pPr>
            <w:r>
              <w:t>总结归纳与作业布置（10min）</w:t>
            </w:r>
          </w:p>
        </w:tc>
        <w:tc>
          <w:tcPr>
            <w:tcW w:type="dxa" w:w="4832"/>
            <w:vAlign w:val="center"/>
          </w:tcPr>
          <w:p>
            <w:pPr>
              <w:jc w:val="left"/>
            </w:pPr>
            <w:r>
              <w:t>教师系统回顾本节课的核心知识点与技能要点。强调规范识别的重要性。布置课外作业。</w:t>
            </w:r>
          </w:p>
        </w:tc>
        <w:tc>
          <w:tcPr>
            <w:tcW w:type="dxa" w:w="1555"/>
            <w:vAlign w:val="center"/>
          </w:tcPr>
          <w:p>
            <w:pPr>
              <w:jc w:val="left"/>
            </w:pPr>
            <w:r>
              <w:t>梳理总结知识体系，强调重点难点，布置作业，提出预习要求。</w:t>
            </w:r>
          </w:p>
        </w:tc>
        <w:tc>
          <w:tcPr>
            <w:tcW w:type="dxa" w:w="1217"/>
            <w:vAlign w:val="center"/>
          </w:tcPr>
          <w:p>
            <w:pPr>
              <w:jc w:val="left"/>
            </w:pPr>
            <w:r>
              <w:t>跟随回顾，查漏补缺，记录作业要求。</w:t>
            </w:r>
          </w:p>
        </w:tc>
      </w:tr>
      <w:tr w14:paraId="665CA75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06" w:hRule="atLeast"/>
          <w:jc w:val="center"/>
        </w:trPr>
        <w:tc>
          <w:tcPr>
            <w:tcW w:w="1314" w:type="dxa"/>
            <w:tcBorders>
              <w:top w:val="single" w:color="000000" w:sz="2" w:space="0"/>
              <w:bottom w:val="single" w:color="000000" w:sz="2" w:space="0"/>
            </w:tcBorders>
            <w:shd w:val="clear" w:color="auto" w:fill="FFFFFF"/>
            <w:noWrap w:val="0"/>
            <w:vAlign w:val="center"/>
          </w:tcPr>
          <w:p w14:paraId="75C3D506">
            <w:pPr>
              <w:jc w:val="center"/>
              <w:rPr>
                <w:rFonts w:ascii="宋体" w:hAnsi="宋体" w:cs="宋体"/>
                <w:spacing w:val="7"/>
              </w:rPr>
            </w:pPr>
            <w:r>
              <w:rPr>
                <w:rFonts w:hint="eastAsia" w:ascii="宋体" w:hAnsi="宋体" w:cs="宋体"/>
                <w:spacing w:val="7"/>
              </w:rPr>
              <w:t>课外作业</w:t>
            </w:r>
          </w:p>
        </w:tc>
        <w:tc>
          <w:tcPr>
            <w:tcW w:w="7604" w:type="dxa"/>
            <w:gridSpan w:val="3"/>
            <w:tcBorders>
              <w:top w:val="single" w:color="000000" w:sz="2" w:space="0"/>
              <w:bottom w:val="single" w:color="000000" w:sz="2" w:space="0"/>
            </w:tcBorders>
            <w:shd w:val="clear" w:color="auto" w:fill="FFFFFF"/>
            <w:noWrap w:val="0"/>
            <w:vAlign w:val="center"/>
          </w:tcPr>
          <w:p>
            <w:pPr>
              <w:jc w:val="left"/>
            </w:pPr>
            <w:r>
              <w:t>1. 基础题：1. 列出5种以上今天学习的元器件名称及其电路图形符号。2. 准确读出三个给定色环电阻的阻值与误差（图片形式）。</w:t>
              <w:br/>
              <w:t>2. 提升题：查找一个包含电阻、电容、二极管、三极管的简单实用电路图（如光控开关），在图中标出各个元器件的实物大致外观或照片。</w:t>
              <w:br/>
              <w:t>3. 预习：预习下一节课“手工焊接工具与材料”的内容，了解电烙铁、焊锡丝、助焊剂的种类和使用注意事项。</w:t>
            </w:r>
          </w:p>
        </w:tc>
      </w:tr>
      <w:tr w14:paraId="010FDB2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96" w:hRule="atLeast"/>
          <w:jc w:val="center"/>
        </w:trPr>
        <w:tc>
          <w:tcPr>
            <w:tcW w:w="1314" w:type="dxa"/>
            <w:tcBorders>
              <w:top w:val="single" w:color="000000" w:sz="2" w:space="0"/>
              <w:bottom w:val="single" w:color="000000" w:sz="2" w:space="0"/>
            </w:tcBorders>
            <w:shd w:val="clear" w:color="auto" w:fill="FFFFFF"/>
            <w:noWrap w:val="0"/>
            <w:vAlign w:val="center"/>
          </w:tcPr>
          <w:p w14:paraId="47451096">
            <w:pPr>
              <w:jc w:val="center"/>
              <w:rPr>
                <w:rFonts w:ascii="宋体" w:hAnsi="宋体" w:cs="宋体"/>
                <w:spacing w:val="7"/>
              </w:rPr>
            </w:pPr>
            <w:r>
              <w:rPr>
                <w:rFonts w:hint="eastAsia" w:ascii="宋体" w:hAnsi="宋体" w:cs="宋体"/>
                <w:spacing w:val="7"/>
              </w:rPr>
              <w:t>教学反思</w:t>
            </w:r>
          </w:p>
        </w:tc>
        <w:tc>
          <w:tcPr>
            <w:tcW w:w="7604" w:type="dxa"/>
            <w:gridSpan w:val="3"/>
            <w:tcBorders>
              <w:top w:val="single" w:color="000000" w:sz="2" w:space="0"/>
              <w:bottom w:val="single" w:color="000000" w:sz="2" w:space="0"/>
            </w:tcBorders>
            <w:shd w:val="clear" w:color="auto" w:fill="FFFFFF"/>
            <w:noWrap w:val="0"/>
            <w:vAlign w:val="center"/>
          </w:tcPr>
          <w:p>
            <w:pPr>
              <w:jc w:val="left"/>
            </w:pPr>
            <w:r/>
          </w:p>
        </w:tc>
      </w:tr>
    </w:tbl>
    <w:p w14:paraId="353579FE">
      <w:pPr>
        <w:jc w:val="left"/>
        <w:rPr>
          <w:rFonts w:hint="eastAsia"/>
          <w:sz w:val="10"/>
        </w:rPr>
      </w:pPr>
    </w:p>
    <w:sectPr>
      <w:pgSz w:w="11907" w:h="16840"/>
      <w:pgMar w:top="1304" w:right="1134" w:bottom="1247" w:left="1701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仿宋_GB2312">
    <w:altName w:val="仿宋"/>
    <w:panose1 w:val="00000000000000000000"/>
    <w:charset w:val="00"/>
    <w:family w:val="auto"/>
    <w:pitch w:val="default"/>
    <w:sig w:usb0="00000000" w:usb1="00000000" w:usb2="00000000" w:usb3="00000000" w:csb0="00040001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bordersDoNotSurroundHeader w:val="1"/>
  <w:bordersDoNotSurroundFooter w:val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hyphenationZone w:val="360"/>
  <w:drawingGridHorizontalSpacing w:val="105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MTg1MTM5OWNkZTVjMjY2ZGEyNjhjMmNmNDA4NDBhZjQifQ=="/>
  </w:docVars>
  <w:rsids>
    <w:rsidRoot w:val="00E72E06"/>
    <w:rsid w:val="00074944"/>
    <w:rsid w:val="000A0417"/>
    <w:rsid w:val="000C01FE"/>
    <w:rsid w:val="000D300E"/>
    <w:rsid w:val="000E32B8"/>
    <w:rsid w:val="0011732B"/>
    <w:rsid w:val="001E2870"/>
    <w:rsid w:val="0021194F"/>
    <w:rsid w:val="00211D8D"/>
    <w:rsid w:val="00216FA2"/>
    <w:rsid w:val="002733F5"/>
    <w:rsid w:val="00290225"/>
    <w:rsid w:val="002A474E"/>
    <w:rsid w:val="002E24E0"/>
    <w:rsid w:val="00345C68"/>
    <w:rsid w:val="0034739E"/>
    <w:rsid w:val="0036799A"/>
    <w:rsid w:val="00403D23"/>
    <w:rsid w:val="004041F9"/>
    <w:rsid w:val="004300FA"/>
    <w:rsid w:val="00437223"/>
    <w:rsid w:val="00452746"/>
    <w:rsid w:val="0046593D"/>
    <w:rsid w:val="004667BD"/>
    <w:rsid w:val="004770BF"/>
    <w:rsid w:val="004B4670"/>
    <w:rsid w:val="004C2778"/>
    <w:rsid w:val="0052105E"/>
    <w:rsid w:val="0053081C"/>
    <w:rsid w:val="005A4016"/>
    <w:rsid w:val="005D4583"/>
    <w:rsid w:val="00620F36"/>
    <w:rsid w:val="006264AA"/>
    <w:rsid w:val="00691C48"/>
    <w:rsid w:val="006A4F73"/>
    <w:rsid w:val="006C2A23"/>
    <w:rsid w:val="006D103F"/>
    <w:rsid w:val="006E6C24"/>
    <w:rsid w:val="006E6CC9"/>
    <w:rsid w:val="00736D03"/>
    <w:rsid w:val="00765D99"/>
    <w:rsid w:val="00773524"/>
    <w:rsid w:val="0079385E"/>
    <w:rsid w:val="007A434B"/>
    <w:rsid w:val="007A7E07"/>
    <w:rsid w:val="007C0AB8"/>
    <w:rsid w:val="007C5152"/>
    <w:rsid w:val="007D4165"/>
    <w:rsid w:val="007D4EAF"/>
    <w:rsid w:val="00826708"/>
    <w:rsid w:val="00836708"/>
    <w:rsid w:val="008517D3"/>
    <w:rsid w:val="009002FF"/>
    <w:rsid w:val="00906531"/>
    <w:rsid w:val="00923115"/>
    <w:rsid w:val="00925998"/>
    <w:rsid w:val="00992A1A"/>
    <w:rsid w:val="009C24E8"/>
    <w:rsid w:val="009D6571"/>
    <w:rsid w:val="009E1985"/>
    <w:rsid w:val="00AD7F22"/>
    <w:rsid w:val="00B03980"/>
    <w:rsid w:val="00B26B28"/>
    <w:rsid w:val="00B3110D"/>
    <w:rsid w:val="00B4102A"/>
    <w:rsid w:val="00B654FA"/>
    <w:rsid w:val="00B67989"/>
    <w:rsid w:val="00B7380A"/>
    <w:rsid w:val="00BA13B6"/>
    <w:rsid w:val="00BB320E"/>
    <w:rsid w:val="00BF2593"/>
    <w:rsid w:val="00BF6032"/>
    <w:rsid w:val="00C01AE8"/>
    <w:rsid w:val="00C10250"/>
    <w:rsid w:val="00C14611"/>
    <w:rsid w:val="00C30851"/>
    <w:rsid w:val="00C379CB"/>
    <w:rsid w:val="00C41FF5"/>
    <w:rsid w:val="00C60D77"/>
    <w:rsid w:val="00CE3AA2"/>
    <w:rsid w:val="00CE744B"/>
    <w:rsid w:val="00CF42A8"/>
    <w:rsid w:val="00D5791B"/>
    <w:rsid w:val="00D96390"/>
    <w:rsid w:val="00DF6BD8"/>
    <w:rsid w:val="00E00565"/>
    <w:rsid w:val="00E408DE"/>
    <w:rsid w:val="00E72E06"/>
    <w:rsid w:val="00E73AD6"/>
    <w:rsid w:val="00EA3267"/>
    <w:rsid w:val="00EA66B0"/>
    <w:rsid w:val="00ED45FC"/>
    <w:rsid w:val="00ED7E40"/>
    <w:rsid w:val="00F4521A"/>
    <w:rsid w:val="00FC2260"/>
    <w:rsid w:val="00FE58EE"/>
    <w:rsid w:val="00FF4058"/>
    <w:rsid w:val="10776A03"/>
    <w:rsid w:val="167354E7"/>
    <w:rsid w:val="1F6941A8"/>
    <w:rsid w:val="3B6505B6"/>
    <w:rsid w:val="51EB286F"/>
    <w:rsid w:val="6762319D"/>
    <w:rsid w:val="761A7D06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kern w:val="2"/>
      <w:sz w:val="21"/>
      <w:szCs w:val="24"/>
      <w:lang w:val="en-US" w:eastAsia="zh-CN" w:bidi="ar-SA"/>
    </w:rPr>
  </w:style>
  <w:style w:type="character" w:default="1" w:styleId="6">
    <w:name w:val="Default Paragraph Font"/>
    <w:semiHidden/>
    <w:uiPriority w:val="0"/>
  </w:style>
  <w:style w:type="table" w:default="1" w:styleId="4">
    <w:name w:val="Normal Table"/>
    <w:semiHidden/>
    <w:uiPriority w:val="0"/>
    <w:tblPr>
      <w:tblStyle w:val="4"/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7"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link w:val="8"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5">
    <w:name w:val="Table Grid"/>
    <w:basedOn w:val="4"/>
    <w:uiPriority w:val="0"/>
    <w:pPr>
      <w:widowControl w:val="0"/>
      <w:jc w:val="both"/>
    </w:pPr>
    <w:tblPr>
      <w:tblStyle w:val="4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7">
    <w:name w:val="页脚 字符"/>
    <w:link w:val="2"/>
    <w:uiPriority w:val="0"/>
    <w:rPr>
      <w:kern w:val="2"/>
      <w:sz w:val="18"/>
      <w:szCs w:val="18"/>
    </w:rPr>
  </w:style>
  <w:style w:type="character" w:customStyle="1" w:styleId="8">
    <w:name w:val="页眉 字符"/>
    <w:link w:val="3"/>
    <w:uiPriority w:val="0"/>
    <w:rPr>
      <w:kern w:val="2"/>
      <w:sz w:val="18"/>
      <w:szCs w:val="18"/>
    </w:rPr>
  </w:style>
  <w:style w:type="table" w:customStyle="1" w:styleId="9">
    <w:name w:val="Table Normal"/>
    <w:unhideWhenUsed/>
    <w:qFormat/>
    <w:uiPriority w:val="0"/>
    <w:rPr>
      <w:lang w:val="en-US" w:eastAsia="zh-CN" w:bidi="ar-SA"/>
    </w:rPr>
    <w:tblPr>
      <w:tblStyle w:val="4"/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2ndSpAcE</Company>
  <Pages>3</Pages>
  <Words>193</Words>
  <Characters>199</Characters>
  <Lines>7</Lines>
  <Paragraphs>1</Paragraphs>
  <TotalTime>21</TotalTime>
  <ScaleCrop>false</ScaleCrop>
  <LinksUpToDate>false</LinksUpToDate>
  <CharactersWithSpaces>400</CharactersWithSpaces>
  <Application>WPS Office_12.1.0.24657_F1E327BC-269C-435d-A152-05C5408002CA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2025-09-20T04:26:00Z</dcterms:created>
  <dc:creator>Image</dc:creator>
  <cp:lastModifiedBy>徐洁</cp:lastModifiedBy>
  <cp:lastPrinted>2005-06-05T04:53:00Z</cp:lastPrinted>
  <dcterms:modified xsi:type="dcterms:W3CDTF">2026-02-11T16:10:55Z</dcterms:modified>
  <dc:title>附表八</dc:title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2052-12.1.0.24657</vt:lpwstr>
  </property>
  <property fmtid="{D5CDD505-2E9C-101B-9397-08002B2CF9AE}" pid="3" name="ICV">
    <vt:lpwstr>BF15433B81A6410B8FC440CA569579A8_13</vt:lpwstr>
  </property>
  <property fmtid="{D5CDD505-2E9C-101B-9397-08002B2CF9AE}" pid="4" name="KSOTemplateDocerSaveRecord">
    <vt:lpwstr>eyJoZGlkIjoiOTc3M2Y5NzIzMDFlZjAyY2Q4Njk5ODkyYjFjNzBiNTQiLCJ1c2VySWQiOiIxNjYxNTQwNjczIn0=</vt:lpwstr>
  </property>
</Properties>
</file>