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F3DF2E">
      <w:pPr>
        <w:rPr>
          <w:rFonts w:hint="eastAsia" w:eastAsia="仿宋_GB2312"/>
          <w:b/>
          <w:bCs/>
          <w:sz w:val="28"/>
        </w:rPr>
      </w:pPr>
    </w:p>
    <w:p w14:paraId="2B387E5C">
      <w:pPr>
        <w:rPr>
          <w:rFonts w:hint="eastAsia" w:eastAsia="仿宋_GB2312"/>
          <w:b/>
          <w:bCs/>
          <w:sz w:val="28"/>
        </w:rPr>
      </w:pPr>
    </w:p>
    <w:p w14:paraId="118B726E">
      <w:pPr>
        <w:spacing w:line="360" w:lineRule="auto"/>
        <w:jc w:val="center"/>
        <w:rPr>
          <w:rFonts w:hint="eastAsia"/>
          <w:b/>
          <w:bCs/>
          <w:sz w:val="44"/>
          <w:szCs w:val="44"/>
        </w:rPr>
      </w:pPr>
      <w:r>
        <w:rPr>
          <w:rFonts w:hint="eastAsia"/>
          <w:b/>
          <w:bCs/>
          <w:sz w:val="44"/>
          <w:szCs w:val="44"/>
        </w:rPr>
        <w:t>江苏联合职业技术学院相城中专办学点</w:t>
      </w:r>
    </w:p>
    <w:p w14:paraId="6BED630F">
      <w:pPr>
        <w:jc w:val="center"/>
        <w:rPr>
          <w:rFonts w:hint="eastAsia" w:eastAsia="仿宋_GB2312"/>
          <w:b/>
          <w:bCs/>
          <w:spacing w:val="30"/>
          <w:sz w:val="36"/>
        </w:rPr>
      </w:pPr>
    </w:p>
    <w:p w14:paraId="3A190DE0">
      <w:pPr>
        <w:widowControl/>
        <w:kinsoku w:val="0"/>
        <w:autoSpaceDE w:val="0"/>
        <w:autoSpaceDN w:val="0"/>
        <w:adjustRightInd w:val="0"/>
        <w:snapToGrid w:val="0"/>
        <w:jc w:val="center"/>
        <w:textAlignment w:val="baseline"/>
        <w:rPr>
          <w:rFonts w:hint="eastAsia" w:ascii="黑体" w:hAnsi="黑体" w:eastAsia="黑体" w:cs="黑体"/>
          <w:b/>
          <w:bCs/>
          <w:snapToGrid w:val="0"/>
          <w:color w:val="000000"/>
          <w:kern w:val="0"/>
          <w:sz w:val="56"/>
          <w:szCs w:val="56"/>
        </w:rPr>
      </w:pPr>
      <w:r>
        <w:rPr>
          <w:rFonts w:hint="eastAsia" w:ascii="黑体" w:hAnsi="黑体" w:eastAsia="黑体" w:cs="黑体"/>
          <w:b/>
          <w:bCs/>
          <w:snapToGrid w:val="0"/>
          <w:color w:val="000000"/>
          <w:kern w:val="0"/>
          <w:sz w:val="56"/>
          <w:szCs w:val="56"/>
        </w:rPr>
        <w:t>教 师 教 案 本</w:t>
      </w:r>
    </w:p>
    <w:p w14:paraId="16B76C8F">
      <w:pPr>
        <w:jc w:val="center"/>
        <w:rPr>
          <w:rFonts w:hint="eastAsia" w:eastAsia="仿宋_GB2312"/>
          <w:b/>
          <w:bCs/>
          <w:sz w:val="52"/>
        </w:rPr>
      </w:pPr>
    </w:p>
    <w:p w14:paraId="15DAE808">
      <w:pPr>
        <w:spacing w:line="360" w:lineRule="auto"/>
        <w:jc w:val="center"/>
        <w:rPr>
          <w:rFonts w:hint="eastAsia"/>
          <w:sz w:val="28"/>
        </w:rPr>
      </w:pPr>
    </w:p>
    <w:p w14:paraId="64390D01">
      <w:pPr>
        <w:rPr>
          <w:rFonts w:hint="eastAsia" w:ascii="宋体" w:hAnsi="宋体"/>
          <w:sz w:val="28"/>
        </w:rPr>
      </w:pPr>
    </w:p>
    <w:p w14:paraId="5878C7BD">
      <w:pPr>
        <w:jc w:val="center"/>
        <w:rPr>
          <w:rFonts w:hint="eastAsia" w:ascii="宋体" w:hAnsi="宋体"/>
          <w:b/>
          <w:sz w:val="32"/>
        </w:rPr>
      </w:pPr>
      <w:r>
        <w:rPr>
          <w:rFonts w:hint="eastAsia" w:ascii="宋体" w:hAnsi="宋体"/>
          <w:b/>
          <w:sz w:val="32"/>
        </w:rPr>
        <w:t>（20  — 20  学年   第</w:t>
      </w:r>
      <w:r>
        <w:rPr>
          <w:rFonts w:hint="eastAsia" w:ascii="宋体" w:hAnsi="宋体"/>
          <w:b/>
          <w:sz w:val="32"/>
          <w:u w:val="single"/>
        </w:rPr>
        <w:t xml:space="preserve">    </w:t>
      </w:r>
      <w:r>
        <w:rPr>
          <w:rFonts w:hint="eastAsia" w:ascii="宋体" w:hAnsi="宋体"/>
          <w:b/>
          <w:sz w:val="32"/>
        </w:rPr>
        <w:t>学期）</w:t>
      </w:r>
    </w:p>
    <w:p w14:paraId="39E91017">
      <w:pPr>
        <w:jc w:val="center"/>
        <w:rPr>
          <w:rFonts w:hint="eastAsia" w:ascii="宋体" w:hAnsi="宋体"/>
          <w:b/>
          <w:sz w:val="32"/>
        </w:rPr>
      </w:pPr>
    </w:p>
    <w:p w14:paraId="505C9F7E">
      <w:pPr>
        <w:jc w:val="center"/>
        <w:rPr>
          <w:rFonts w:hint="eastAsia" w:ascii="宋体" w:hAnsi="宋体"/>
          <w:sz w:val="32"/>
        </w:rPr>
      </w:pPr>
    </w:p>
    <w:p w14:paraId="5518E3F8">
      <w:pPr>
        <w:jc w:val="center"/>
        <w:rPr>
          <w:rFonts w:hint="eastAsia" w:ascii="宋体" w:hAnsi="宋体"/>
          <w:sz w:val="32"/>
        </w:rPr>
      </w:pPr>
    </w:p>
    <w:tbl>
      <w:tblPr>
        <w:tblStyle w:val="4"/>
        <w:tblW w:w="0" w:type="auto"/>
        <w:tblInd w:w="0" w:type="dxa"/>
        <w:tblLayout w:type="autofit"/>
        <w:tblCellMar>
          <w:top w:w="0" w:type="dxa"/>
          <w:left w:w="108" w:type="dxa"/>
          <w:bottom w:w="0" w:type="dxa"/>
          <w:right w:w="108" w:type="dxa"/>
        </w:tblCellMar>
      </w:tblPr>
      <w:tblGrid>
        <w:gridCol w:w="2687"/>
        <w:gridCol w:w="5835"/>
      </w:tblGrid>
      <w:tr w14:paraId="2FC7FFFF">
        <w:tblPrEx>
          <w:tblCellMar>
            <w:top w:w="0" w:type="dxa"/>
            <w:left w:w="108" w:type="dxa"/>
            <w:bottom w:w="0" w:type="dxa"/>
            <w:right w:w="108" w:type="dxa"/>
          </w:tblCellMar>
        </w:tblPrEx>
        <w:trPr>
          <w:trHeight w:val="816" w:hRule="atLeast"/>
        </w:trPr>
        <w:tc>
          <w:tcPr>
            <w:tcW w:w="2687" w:type="dxa"/>
            <w:noWrap w:val="0"/>
            <w:vAlign w:val="center"/>
          </w:tcPr>
          <w:p w14:paraId="6F1846C8">
            <w:pPr>
              <w:jc w:val="right"/>
              <w:rPr>
                <w:sz w:val="32"/>
                <w:szCs w:val="32"/>
              </w:rPr>
            </w:pPr>
            <w:r>
              <w:rPr>
                <w:rFonts w:hint="eastAsia"/>
                <w:sz w:val="32"/>
                <w:szCs w:val="32"/>
              </w:rPr>
              <w:t>院    系</w:t>
            </w:r>
          </w:p>
        </w:tc>
        <w:tc>
          <w:tcPr>
            <w:tcW w:w="5835" w:type="dxa"/>
            <w:noWrap w:val="0"/>
            <w:vAlign w:val="center"/>
          </w:tcPr>
          <w:p w14:paraId="68156924">
            <w:pPr>
              <w:rPr>
                <w:sz w:val="32"/>
                <w:szCs w:val="32"/>
              </w:rPr>
            </w:pPr>
            <w:r>
              <w:rPr>
                <w:rFonts w:hint="eastAsia"/>
                <w:sz w:val="32"/>
                <w:szCs w:val="32"/>
                <w:u w:val="single"/>
              </w:rPr>
              <w:t xml:space="preserve">                                   </w:t>
            </w:r>
          </w:p>
        </w:tc>
      </w:tr>
      <w:tr w14:paraId="3DDE05BA">
        <w:tblPrEx>
          <w:tblCellMar>
            <w:top w:w="0" w:type="dxa"/>
            <w:left w:w="108" w:type="dxa"/>
            <w:bottom w:w="0" w:type="dxa"/>
            <w:right w:w="108" w:type="dxa"/>
          </w:tblCellMar>
        </w:tblPrEx>
        <w:trPr>
          <w:trHeight w:val="816" w:hRule="atLeast"/>
        </w:trPr>
        <w:tc>
          <w:tcPr>
            <w:tcW w:w="2687" w:type="dxa"/>
            <w:noWrap w:val="0"/>
            <w:vAlign w:val="center"/>
          </w:tcPr>
          <w:p w14:paraId="430DBA8A">
            <w:pPr>
              <w:jc w:val="right"/>
              <w:rPr>
                <w:sz w:val="32"/>
                <w:szCs w:val="32"/>
              </w:rPr>
            </w:pPr>
            <w:r>
              <w:rPr>
                <w:rFonts w:hint="eastAsia"/>
                <w:sz w:val="32"/>
                <w:szCs w:val="32"/>
              </w:rPr>
              <w:t>授课班级</w:t>
            </w:r>
          </w:p>
        </w:tc>
        <w:tc>
          <w:tcPr>
            <w:tcW w:w="5835" w:type="dxa"/>
            <w:noWrap w:val="0"/>
            <w:vAlign w:val="center"/>
          </w:tcPr>
          <w:p w14:paraId="4FD52CD6">
            <w:pPr>
              <w:rPr>
                <w:sz w:val="32"/>
                <w:szCs w:val="32"/>
                <w:u w:val="single"/>
              </w:rPr>
            </w:pPr>
            <w:r>
              <w:rPr>
                <w:rFonts w:hint="eastAsia"/>
                <w:sz w:val="32"/>
                <w:szCs w:val="32"/>
                <w:u w:val="single"/>
              </w:rPr>
              <w:t xml:space="preserve">                                    </w:t>
            </w:r>
          </w:p>
        </w:tc>
      </w:tr>
      <w:tr w14:paraId="28BFE392">
        <w:tblPrEx>
          <w:tblCellMar>
            <w:top w:w="0" w:type="dxa"/>
            <w:left w:w="108" w:type="dxa"/>
            <w:bottom w:w="0" w:type="dxa"/>
            <w:right w:w="108" w:type="dxa"/>
          </w:tblCellMar>
        </w:tblPrEx>
        <w:trPr>
          <w:trHeight w:val="816" w:hRule="atLeast"/>
        </w:trPr>
        <w:tc>
          <w:tcPr>
            <w:tcW w:w="2687" w:type="dxa"/>
            <w:noWrap w:val="0"/>
            <w:vAlign w:val="center"/>
          </w:tcPr>
          <w:p w14:paraId="4CD41525">
            <w:pPr>
              <w:jc w:val="right"/>
              <w:rPr>
                <w:sz w:val="32"/>
                <w:szCs w:val="32"/>
              </w:rPr>
            </w:pPr>
            <w:r>
              <w:rPr>
                <w:rFonts w:hint="eastAsia"/>
                <w:sz w:val="32"/>
                <w:szCs w:val="32"/>
              </w:rPr>
              <w:t>专业名称</w:t>
            </w:r>
          </w:p>
        </w:tc>
        <w:tc>
          <w:tcPr>
            <w:tcW w:w="5835" w:type="dxa"/>
            <w:noWrap w:val="0"/>
            <w:vAlign w:val="center"/>
          </w:tcPr>
          <w:p w14:paraId="608D2679">
            <w:pPr>
              <w:rPr>
                <w:sz w:val="32"/>
                <w:szCs w:val="32"/>
              </w:rPr>
            </w:pPr>
            <w:r>
              <w:rPr>
                <w:rFonts w:hint="eastAsia"/>
                <w:sz w:val="32"/>
                <w:szCs w:val="32"/>
                <w:u w:val="single"/>
              </w:rPr>
              <w:t xml:space="preserve">                                   </w:t>
            </w:r>
          </w:p>
        </w:tc>
      </w:tr>
      <w:tr w14:paraId="4134CB0F">
        <w:tblPrEx>
          <w:tblCellMar>
            <w:top w:w="0" w:type="dxa"/>
            <w:left w:w="108" w:type="dxa"/>
            <w:bottom w:w="0" w:type="dxa"/>
            <w:right w:w="108" w:type="dxa"/>
          </w:tblCellMar>
        </w:tblPrEx>
        <w:trPr>
          <w:trHeight w:val="816" w:hRule="atLeast"/>
        </w:trPr>
        <w:tc>
          <w:tcPr>
            <w:tcW w:w="2687" w:type="dxa"/>
            <w:noWrap w:val="0"/>
            <w:vAlign w:val="center"/>
          </w:tcPr>
          <w:p w14:paraId="602647AE">
            <w:pPr>
              <w:jc w:val="right"/>
              <w:rPr>
                <w:sz w:val="32"/>
                <w:szCs w:val="32"/>
              </w:rPr>
            </w:pPr>
            <w:r>
              <w:rPr>
                <w:rFonts w:hint="eastAsia"/>
                <w:sz w:val="32"/>
                <w:szCs w:val="32"/>
              </w:rPr>
              <w:t>课程名称</w:t>
            </w:r>
          </w:p>
        </w:tc>
        <w:tc>
          <w:tcPr>
            <w:tcW w:w="5835" w:type="dxa"/>
            <w:noWrap w:val="0"/>
            <w:vAlign w:val="center"/>
          </w:tcPr>
          <w:p w14:paraId="141BC3F0">
            <w:pPr>
              <w:rPr>
                <w:sz w:val="32"/>
                <w:szCs w:val="32"/>
              </w:rPr>
            </w:pPr>
            <w:r>
              <w:rPr>
                <w:rFonts w:hint="eastAsia"/>
                <w:sz w:val="32"/>
                <w:szCs w:val="32"/>
                <w:u w:val="single"/>
              </w:rPr>
              <w:t xml:space="preserve">                                   </w:t>
            </w:r>
          </w:p>
        </w:tc>
      </w:tr>
      <w:tr w14:paraId="0715EFA9">
        <w:tblPrEx>
          <w:tblCellMar>
            <w:top w:w="0" w:type="dxa"/>
            <w:left w:w="108" w:type="dxa"/>
            <w:bottom w:w="0" w:type="dxa"/>
            <w:right w:w="108" w:type="dxa"/>
          </w:tblCellMar>
        </w:tblPrEx>
        <w:trPr>
          <w:trHeight w:val="816" w:hRule="atLeast"/>
        </w:trPr>
        <w:tc>
          <w:tcPr>
            <w:tcW w:w="2687" w:type="dxa"/>
            <w:noWrap w:val="0"/>
            <w:vAlign w:val="center"/>
          </w:tcPr>
          <w:p w14:paraId="68922B21">
            <w:pPr>
              <w:jc w:val="right"/>
              <w:rPr>
                <w:sz w:val="32"/>
                <w:szCs w:val="32"/>
              </w:rPr>
            </w:pPr>
            <w:r>
              <w:rPr>
                <w:rFonts w:hint="eastAsia"/>
                <w:sz w:val="32"/>
                <w:szCs w:val="32"/>
              </w:rPr>
              <w:t>授课教师</w:t>
            </w:r>
          </w:p>
        </w:tc>
        <w:tc>
          <w:tcPr>
            <w:tcW w:w="5835" w:type="dxa"/>
            <w:noWrap w:val="0"/>
            <w:vAlign w:val="center"/>
          </w:tcPr>
          <w:p w14:paraId="217D5898">
            <w:pPr>
              <w:rPr>
                <w:sz w:val="32"/>
                <w:szCs w:val="32"/>
              </w:rPr>
            </w:pPr>
            <w:r>
              <w:rPr>
                <w:rFonts w:hint="eastAsia"/>
                <w:sz w:val="32"/>
                <w:szCs w:val="32"/>
                <w:u w:val="single"/>
              </w:rPr>
              <w:t xml:space="preserve">                                   </w:t>
            </w:r>
          </w:p>
        </w:tc>
      </w:tr>
    </w:tbl>
    <w:p w14:paraId="6B31C098">
      <w:pPr>
        <w:jc w:val="center"/>
        <w:rPr>
          <w:sz w:val="32"/>
          <w:szCs w:val="32"/>
        </w:rPr>
      </w:pPr>
    </w:p>
    <w:p w14:paraId="06319883">
      <w:pPr>
        <w:jc w:val="center"/>
        <w:rPr>
          <w:rFonts w:hint="eastAsia" w:ascii="宋体" w:hAnsi="宋体"/>
          <w:sz w:val="32"/>
        </w:rPr>
      </w:pPr>
    </w:p>
    <w:p w14:paraId="39FCA139">
      <w:pPr>
        <w:jc w:val="center"/>
        <w:rPr>
          <w:rFonts w:hint="eastAsia" w:ascii="宋体" w:hAnsi="宋体"/>
          <w:sz w:val="32"/>
        </w:rPr>
      </w:pPr>
    </w:p>
    <w:p w14:paraId="327F7D7D">
      <w:pPr>
        <w:jc w:val="center"/>
        <w:rPr>
          <w:rFonts w:hint="eastAsia" w:ascii="宋体" w:hAnsi="宋体"/>
          <w:sz w:val="32"/>
        </w:rPr>
      </w:pPr>
    </w:p>
    <w:p w14:paraId="50627E9F">
      <w:pPr>
        <w:rPr>
          <w:rFonts w:hint="eastAsia"/>
          <w:sz w:val="10"/>
        </w:rPr>
      </w:pPr>
    </w:p>
    <w:tbl>
      <w:tblPr>
        <w:tblStyle w:val="4"/>
        <w:tblW w:w="475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1147"/>
        <w:gridCol w:w="1276"/>
        <w:gridCol w:w="1341"/>
        <w:gridCol w:w="1306"/>
        <w:gridCol w:w="2291"/>
      </w:tblGrid>
      <w:tr w14:paraId="23E3D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atLeast"/>
        </w:trPr>
        <w:tc>
          <w:tcPr>
            <w:tcW w:w="834" w:type="pct"/>
            <w:noWrap w:val="0"/>
            <w:vAlign w:val="center"/>
          </w:tcPr>
          <w:p w14:paraId="1E35969B">
            <w:pPr>
              <w:spacing w:before="156" w:beforeLines="50" w:after="156" w:afterLines="50"/>
              <w:jc w:val="center"/>
              <w:rPr>
                <w:rFonts w:hint="eastAsia"/>
                <w:sz w:val="24"/>
              </w:rPr>
            </w:pPr>
            <w:r>
              <w:rPr>
                <w:rFonts w:hint="eastAsia"/>
                <w:sz w:val="24"/>
              </w:rPr>
              <w:t>课题名称</w:t>
            </w:r>
          </w:p>
        </w:tc>
        <w:tc>
          <w:tcPr>
            <w:tcW w:w="4165" w:type="pct"/>
            <w:gridSpan w:val="5"/>
            <w:noWrap w:val="0"/>
            <w:vAlign w:val="center"/>
          </w:tcPr>
          <w:p>
            <w:pPr>
              <w:jc w:val="left"/>
            </w:pPr>
            <w:r>
              <w:t>电子元器件认识2</w:t>
            </w:r>
          </w:p>
        </w:tc>
      </w:tr>
      <w:tr w14:paraId="146AE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trPr>
        <w:tc>
          <w:tcPr>
            <w:tcW w:w="834" w:type="pct"/>
            <w:noWrap w:val="0"/>
            <w:vAlign w:val="center"/>
          </w:tcPr>
          <w:p w14:paraId="134B192F">
            <w:pPr>
              <w:spacing w:before="156" w:beforeLines="50" w:after="156" w:afterLines="50"/>
              <w:jc w:val="center"/>
              <w:rPr>
                <w:rFonts w:hint="eastAsia"/>
                <w:sz w:val="24"/>
              </w:rPr>
            </w:pPr>
            <w:r>
              <w:rPr>
                <w:rFonts w:hint="eastAsia"/>
                <w:sz w:val="24"/>
              </w:rPr>
              <w:t>授课班级</w:t>
            </w:r>
          </w:p>
        </w:tc>
        <w:tc>
          <w:tcPr>
            <w:tcW w:w="2130" w:type="pct"/>
            <w:gridSpan w:val="3"/>
            <w:noWrap w:val="0"/>
            <w:vAlign w:val="center"/>
          </w:tcPr>
          <w:p>
            <w:pPr>
              <w:jc w:val="left"/>
            </w:pPr>
            <w:r>
              <w:t>电气自动化（2）班</w:t>
            </w:r>
          </w:p>
        </w:tc>
        <w:tc>
          <w:tcPr>
            <w:tcW w:w="739" w:type="pct"/>
            <w:noWrap w:val="0"/>
            <w:vAlign w:val="center"/>
          </w:tcPr>
          <w:p w14:paraId="3EC8CD94">
            <w:pPr>
              <w:spacing w:before="156" w:beforeLines="50" w:after="156" w:afterLines="50"/>
              <w:jc w:val="center"/>
              <w:rPr>
                <w:rFonts w:hint="eastAsia"/>
                <w:sz w:val="24"/>
              </w:rPr>
            </w:pPr>
            <w:r>
              <w:rPr>
                <w:rFonts w:hint="eastAsia"/>
                <w:sz w:val="24"/>
              </w:rPr>
              <w:t>授课地点</w:t>
            </w:r>
          </w:p>
        </w:tc>
        <w:tc>
          <w:tcPr>
            <w:tcW w:w="1295" w:type="pct"/>
            <w:noWrap w:val="0"/>
            <w:vAlign w:val="center"/>
          </w:tcPr>
          <w:p>
            <w:pPr>
              <w:jc w:val="left"/>
            </w:pPr>
            <w:r>
              <w:t>电子实训室</w:t>
            </w:r>
          </w:p>
        </w:tc>
      </w:tr>
      <w:tr w14:paraId="5BDDF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trPr>
        <w:tc>
          <w:tcPr>
            <w:tcW w:w="834" w:type="pct"/>
            <w:noWrap w:val="0"/>
            <w:vAlign w:val="center"/>
          </w:tcPr>
          <w:p w14:paraId="05FF524D">
            <w:pPr>
              <w:spacing w:before="156" w:beforeLines="50" w:after="156" w:afterLines="50"/>
              <w:jc w:val="center"/>
              <w:rPr>
                <w:rFonts w:hint="eastAsia"/>
                <w:sz w:val="24"/>
              </w:rPr>
            </w:pPr>
            <w:r>
              <w:rPr>
                <w:rFonts w:hint="eastAsia"/>
                <w:sz w:val="24"/>
              </w:rPr>
              <w:t>授课时间</w:t>
            </w:r>
          </w:p>
        </w:tc>
        <w:tc>
          <w:tcPr>
            <w:tcW w:w="649" w:type="pct"/>
            <w:noWrap w:val="0"/>
            <w:vAlign w:val="center"/>
          </w:tcPr>
          <w:p>
            <w:pPr>
              <w:jc w:val="left"/>
            </w:pPr>
            <w:r>
              <w:t>2026年2月15日</w:t>
            </w:r>
          </w:p>
        </w:tc>
        <w:tc>
          <w:tcPr>
            <w:tcW w:w="722" w:type="pct"/>
            <w:noWrap w:val="0"/>
            <w:vAlign w:val="center"/>
          </w:tcPr>
          <w:p w14:paraId="3CB75E9A">
            <w:pPr>
              <w:spacing w:before="156" w:beforeLines="50" w:after="156" w:afterLines="50"/>
              <w:jc w:val="center"/>
              <w:rPr>
                <w:rFonts w:hint="eastAsia"/>
                <w:sz w:val="24"/>
              </w:rPr>
            </w:pPr>
            <w:r>
              <w:rPr>
                <w:rFonts w:hint="eastAsia"/>
                <w:sz w:val="24"/>
              </w:rPr>
              <w:t>授课学时</w:t>
            </w:r>
          </w:p>
        </w:tc>
        <w:tc>
          <w:tcPr>
            <w:tcW w:w="758" w:type="pct"/>
            <w:noWrap w:val="0"/>
            <w:vAlign w:val="center"/>
          </w:tcPr>
          <w:p>
            <w:pPr>
              <w:jc w:val="left"/>
            </w:pPr>
            <w:r>
              <w:t>2学时</w:t>
            </w:r>
          </w:p>
        </w:tc>
        <w:tc>
          <w:tcPr>
            <w:tcW w:w="739" w:type="pct"/>
            <w:noWrap w:val="0"/>
            <w:vAlign w:val="center"/>
          </w:tcPr>
          <w:p w14:paraId="3D7902E7">
            <w:pPr>
              <w:spacing w:before="156" w:beforeLines="50" w:after="156" w:afterLines="50"/>
              <w:jc w:val="center"/>
              <w:rPr>
                <w:rFonts w:hint="eastAsia"/>
                <w:sz w:val="24"/>
              </w:rPr>
            </w:pPr>
            <w:r>
              <w:rPr>
                <w:rFonts w:hint="eastAsia" w:ascii="宋体" w:hAnsi="宋体" w:cs="宋体"/>
                <w:spacing w:val="8"/>
              </w:rPr>
              <w:t>授</w:t>
            </w:r>
            <w:r>
              <w:rPr>
                <w:rFonts w:hint="eastAsia" w:ascii="宋体" w:hAnsi="宋体" w:cs="宋体"/>
                <w:spacing w:val="6"/>
              </w:rPr>
              <w:t>课类型</w:t>
            </w:r>
          </w:p>
        </w:tc>
        <w:tc>
          <w:tcPr>
            <w:tcW w:w="1295" w:type="pct"/>
            <w:noWrap w:val="0"/>
            <w:vAlign w:val="center"/>
          </w:tcPr>
          <w:p>
            <w:pPr>
              <w:jc w:val="left"/>
            </w:pPr>
            <w:r>
              <w:rPr>
                <w:rFonts w:ascii="宋体" w:hAnsi="宋体"/>
              </w:rPr>
              <w:t>理论课</w:t>
            </w:r>
          </w:p>
        </w:tc>
      </w:tr>
      <w:tr w14:paraId="076EB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1" w:hRule="atLeast"/>
        </w:trPr>
        <w:tc>
          <w:tcPr>
            <w:tcW w:w="834" w:type="pct"/>
            <w:noWrap w:val="0"/>
            <w:vAlign w:val="center"/>
          </w:tcPr>
          <w:p w14:paraId="0BC5AD97">
            <w:pPr>
              <w:spacing w:before="156" w:beforeLines="50" w:after="156" w:afterLines="50" w:line="320" w:lineRule="exact"/>
              <w:jc w:val="center"/>
              <w:rPr>
                <w:rFonts w:hint="eastAsia"/>
                <w:sz w:val="24"/>
              </w:rPr>
            </w:pPr>
            <w:r>
              <w:rPr>
                <w:rFonts w:hint="eastAsia" w:ascii="宋体" w:hAnsi="宋体" w:cs="宋体"/>
                <w:spacing w:val="4"/>
              </w:rPr>
              <w:t>教学内容及学情分析</w:t>
            </w:r>
          </w:p>
        </w:tc>
        <w:tc>
          <w:tcPr>
            <w:tcW w:w="4165" w:type="pct"/>
            <w:gridSpan w:val="5"/>
            <w:noWrap w:val="0"/>
            <w:vAlign w:val="center"/>
          </w:tcPr>
          <w:p>
            <w:pPr>
              <w:jc w:val="left"/>
            </w:pPr>
            <w:r>
              <w:t>【教学内容】</w:t>
              <w:br/>
              <w:t>本节课是《电子焊接》课程中“电子元器件认识”系列的第二讲。教学内容主要包括：1. 深入认识电阻器、电容器、电感器、二极管、三极管等常用电子元器件的型号、参数、封装及识别方法。2. 学习使用万用表等工具对元器件进行基本检测与筛选，如测量电阻值、判断二极管极性、检测三极管类型与引脚。3. 结合参考文档中关于“个人信用报告”的严谨性、准确性和规范性的理念，引导学生理解电子元器件参数识别与检测的精确性、规范性对于后续焊接质量乃至整个电路系统可靠性的极端重要性，建立“元器件数据即电路信用”的职业意识。</w:t>
              <w:br/>
              <w:t>【学情分析】</w:t>
              <w:br/>
              <w:t>授课对象为电气自动化专业二年级学生，已具备初步的电路基础知识，并完成了第一课时的基础元器件外形认知。学生学习积极性较高，对动手操作兴趣浓厚，但部分学生理论基础不够扎实，对抽象的参数概念理解不深。在实践环节中，学生可能遇到的困难包括：无法准确读取元器件上的参数标识（如色环电阻、代码电容），使用万用表进行检测时操作不规范导致误判，以及对元器件质量好坏、参数匹配的重要性认识不足，容易忽视检测环节。</w:t>
            </w:r>
          </w:p>
        </w:tc>
      </w:tr>
      <w:tr w14:paraId="7AA8C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1" w:hRule="atLeast"/>
        </w:trPr>
        <w:tc>
          <w:tcPr>
            <w:tcW w:w="1474" w:type="dxa"/>
            <w:noWrap w:val="0"/>
            <w:vAlign w:val="center"/>
          </w:tcPr>
          <w:p w14:paraId="09F71C7E">
            <w:pPr>
              <w:jc w:val="center"/>
              <w:rPr>
                <w:rFonts w:hint="eastAsia"/>
                <w:sz w:val="24"/>
              </w:rPr>
            </w:pPr>
            <w:r>
              <w:rPr>
                <w:rFonts w:hint="eastAsia" w:ascii="宋体" w:hAnsi="宋体" w:cs="宋体"/>
                <w:spacing w:val="7"/>
              </w:rPr>
              <w:t>教学目</w:t>
            </w:r>
            <w:r>
              <w:rPr>
                <w:rFonts w:hint="eastAsia" w:ascii="宋体" w:hAnsi="宋体" w:cs="宋体"/>
                <w:spacing w:val="6"/>
              </w:rPr>
              <w:t>标</w:t>
            </w:r>
          </w:p>
        </w:tc>
        <w:tc>
          <w:tcPr>
            <w:tcW w:w="7361" w:type="dxa"/>
            <w:gridSpan w:val="5"/>
            <w:noWrap w:val="0"/>
            <w:vAlign w:val="center"/>
          </w:tcPr>
          <w:p>
            <w:pPr>
              <w:jc w:val="left"/>
            </w:pPr>
            <w:r>
              <w:t>1. 知识目标：掌握常用电子元器件（电阻、电容、二极管、三极管）的主要参数含义及标识方法；理解元器件检测的基本原理和目的。</w:t>
              <w:br/>
              <w:t>2. 能力目标：能独立、规范地使用万用表对上述元器件进行识别与好坏判断；具备根据电路要求初步筛选合适元器件的能力。</w:t>
              <w:br/>
              <w:t>3. 素质目标：培养严谨细致、精益求精的工匠精神；树立规范操作、质量第一的职业意识；增强团队协作与安全操作意识。</w:t>
            </w:r>
          </w:p>
        </w:tc>
      </w:tr>
      <w:tr w14:paraId="161BF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1474" w:type="dxa"/>
            <w:noWrap w:val="0"/>
            <w:vAlign w:val="center"/>
          </w:tcPr>
          <w:p w14:paraId="56A85BD8">
            <w:pPr>
              <w:jc w:val="center"/>
              <w:rPr>
                <w:rFonts w:hint="eastAsia"/>
                <w:sz w:val="24"/>
              </w:rPr>
            </w:pPr>
            <w:r>
              <w:rPr>
                <w:rFonts w:hint="eastAsia" w:ascii="宋体" w:hAnsi="宋体" w:cs="宋体"/>
                <w:spacing w:val="7"/>
              </w:rPr>
              <w:t>教学重</w:t>
            </w:r>
            <w:r>
              <w:rPr>
                <w:rFonts w:hint="eastAsia" w:ascii="宋体" w:hAnsi="宋体" w:cs="宋体"/>
                <w:spacing w:val="6"/>
              </w:rPr>
              <w:t>点</w:t>
            </w:r>
          </w:p>
        </w:tc>
        <w:tc>
          <w:tcPr>
            <w:tcW w:w="4165" w:type="pct"/>
            <w:gridSpan w:val="5"/>
            <w:noWrap w:val="0"/>
            <w:vAlign w:val="center"/>
          </w:tcPr>
          <w:p>
            <w:pPr>
              <w:jc w:val="left"/>
            </w:pPr>
            <w:r>
              <w:t>1. 重点1：电阻、电容、二极管、三极管的参数识别与封装认识</w:t>
              <w:br/>
              <w:t>2. 重点2：使用万用表检测元器件极性、好坏及基本参数的规范操作步骤</w:t>
              <w:br/>
              <w:t>3. 重点3：元器件检测过程中的安全规范与测量准确性标准</w:t>
            </w:r>
          </w:p>
        </w:tc>
      </w:tr>
      <w:tr w14:paraId="3825D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8" w:hRule="atLeast"/>
        </w:trPr>
        <w:tc>
          <w:tcPr>
            <w:tcW w:w="1474" w:type="dxa"/>
            <w:noWrap w:val="0"/>
            <w:vAlign w:val="center"/>
          </w:tcPr>
          <w:p w14:paraId="5A73D64C">
            <w:pPr>
              <w:jc w:val="center"/>
              <w:rPr>
                <w:rFonts w:hint="eastAsia"/>
                <w:sz w:val="24"/>
              </w:rPr>
            </w:pPr>
            <w:r>
              <w:rPr>
                <w:rFonts w:hint="eastAsia" w:ascii="宋体" w:hAnsi="宋体" w:cs="宋体"/>
                <w:spacing w:val="7"/>
              </w:rPr>
              <w:t>教学难</w:t>
            </w:r>
            <w:r>
              <w:rPr>
                <w:rFonts w:hint="eastAsia" w:ascii="宋体" w:hAnsi="宋体" w:cs="宋体"/>
                <w:spacing w:val="6"/>
              </w:rPr>
              <w:t>点</w:t>
            </w:r>
          </w:p>
        </w:tc>
        <w:tc>
          <w:tcPr>
            <w:tcW w:w="4165" w:type="pct"/>
            <w:gridSpan w:val="5"/>
            <w:noWrap w:val="0"/>
            <w:vAlign w:val="center"/>
          </w:tcPr>
          <w:p>
            <w:pPr>
              <w:jc w:val="left"/>
            </w:pPr>
            <w:r>
              <w:t>1. 难点1：色环电阻阻值、电容容量代码的快速准确识读</w:t>
              <w:br/>
              <w:t>2. 难点2：利用万用表判断三极管的类型（NPN/PNP）、引脚（E/B/C）及放大能力</w:t>
            </w:r>
          </w:p>
        </w:tc>
      </w:tr>
      <w:tr w14:paraId="7494D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4" w:hRule="atLeast"/>
        </w:trPr>
        <w:tc>
          <w:tcPr>
            <w:tcW w:w="1474" w:type="dxa"/>
            <w:noWrap w:val="0"/>
            <w:vAlign w:val="center"/>
          </w:tcPr>
          <w:p w14:paraId="0687A3ED">
            <w:pPr>
              <w:jc w:val="center"/>
              <w:rPr>
                <w:sz w:val="24"/>
              </w:rPr>
            </w:pPr>
            <w:r>
              <w:rPr>
                <w:rFonts w:hint="eastAsia" w:ascii="宋体" w:hAnsi="宋体" w:cs="宋体"/>
                <w:spacing w:val="7"/>
              </w:rPr>
              <w:t>教学方法与教学资源</w:t>
            </w:r>
          </w:p>
        </w:tc>
        <w:tc>
          <w:tcPr>
            <w:tcW w:w="4165" w:type="pct"/>
            <w:gridSpan w:val="5"/>
            <w:noWrap w:val="0"/>
            <w:vAlign w:val="center"/>
          </w:tcPr>
          <w:p>
            <w:pPr>
              <w:jc w:val="left"/>
            </w:pPr>
            <w:r>
              <w:t>【教学方法】</w:t>
              <w:br/>
              <w:t>任务驱动法、示范教学法、小组合作探究法</w:t>
              <w:br/>
              <w:t>【教学资源】</w:t>
              <w:br/>
              <w:t>多媒体课件（含元器件图片、参数表）、各类电子元器件实物样品、数字万用表、元器件检测任务工单、参考文档（个人信用报告）案例展示</w:t>
            </w:r>
          </w:p>
        </w:tc>
      </w:tr>
      <w:tr w14:paraId="58D96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1" w:hRule="atLeast"/>
        </w:trPr>
        <w:tc>
          <w:tcPr>
            <w:tcW w:w="1474" w:type="dxa"/>
            <w:noWrap w:val="0"/>
            <w:vAlign w:val="center"/>
          </w:tcPr>
          <w:p w14:paraId="01DC87C6">
            <w:pPr>
              <w:jc w:val="center"/>
              <w:rPr>
                <w:rFonts w:hint="eastAsia"/>
                <w:sz w:val="24"/>
              </w:rPr>
            </w:pPr>
            <w:r>
              <w:rPr>
                <w:rFonts w:hint="eastAsia" w:ascii="宋体" w:hAnsi="宋体" w:cs="宋体"/>
                <w:spacing w:val="7"/>
              </w:rPr>
              <w:t>思政元素</w:t>
            </w:r>
          </w:p>
        </w:tc>
        <w:tc>
          <w:tcPr>
            <w:tcW w:w="4165" w:type="pct"/>
            <w:gridSpan w:val="5"/>
            <w:noWrap w:val="0"/>
            <w:vAlign w:val="center"/>
          </w:tcPr>
          <w:p>
            <w:pPr>
              <w:jc w:val="left"/>
            </w:pPr>
            <w:r>
              <w:t>1. 思政点1：结合参考文档，强调信息的准确性与规范性是信用的基石，类比电子元器件参数的准确识别是电路可靠性的“信用报告”，培养学生严谨求实的科学态度和职业责任感。</w:t>
              <w:br/>
              <w:t>2. 思政点2：通过精确测量和规范操作训练，融入工匠精神教育，引导学生追求技艺的精准和产品的质量。</w:t>
              <w:br/>
              <w:t>3. 思政点3：在小组检测任务中，强调分工协作、互检互查，培养团队合作意识和沟通能力。</w:t>
              <w:br/>
              <w:t>4. 思政点4：展示国产优质电子元器件的发展，增强学生对国家电子产业进步的自豪感和投身关键技术自主创新的意识。</w:t>
            </w:r>
          </w:p>
        </w:tc>
      </w:tr>
    </w:tbl>
    <w:p w14:paraId="7BD3B59A">
      <w:pPr>
        <w:rPr>
          <w:rFonts w:hint="eastAsia"/>
          <w:sz w:val="10"/>
        </w:rPr>
      </w:pPr>
    </w:p>
    <w:p w14:paraId="62EA29CF">
      <w:pPr>
        <w:rPr>
          <w:rFonts w:hint="eastAsia"/>
          <w:sz w:val="10"/>
        </w:rPr>
      </w:pPr>
    </w:p>
    <w:p w14:paraId="46A890A1">
      <w:pPr>
        <w:rPr>
          <w:rFonts w:hint="eastAsia"/>
          <w:sz w:val="10"/>
        </w:rPr>
      </w:pPr>
    </w:p>
    <w:p w14:paraId="33FF7DAE">
      <w:pPr>
        <w:rPr>
          <w:rFonts w:hint="eastAsia"/>
          <w:sz w:val="10"/>
        </w:rPr>
      </w:pPr>
    </w:p>
    <w:p w14:paraId="0B813D31">
      <w:pPr>
        <w:rPr>
          <w:rFonts w:hint="eastAsia"/>
          <w:sz w:val="10"/>
        </w:rPr>
      </w:pPr>
    </w:p>
    <w:tbl>
      <w:tblPr>
        <w:tblStyle w:val="4"/>
        <w:tblpPr w:leftFromText="181" w:rightFromText="181" w:vertAnchor="text" w:horzAnchor="page" w:tblpXSpec="center" w:tblpY="120"/>
        <w:tblOverlap w:val="never"/>
        <w:tblW w:w="891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blLayout w:type="fixed"/>
        <w:tblCellMar>
          <w:top w:w="0" w:type="dxa"/>
          <w:left w:w="0" w:type="dxa"/>
          <w:bottom w:w="0" w:type="dxa"/>
          <w:right w:w="0" w:type="dxa"/>
        </w:tblCellMar>
      </w:tblPr>
      <w:tblGrid>
        <w:gridCol w:w="1314"/>
        <w:gridCol w:w="4832"/>
        <w:gridCol w:w="1555"/>
        <w:gridCol w:w="1217"/>
      </w:tblGrid>
      <w:tr w14:paraId="789244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blCellMar>
            <w:top w:w="0" w:type="dxa"/>
            <w:left w:w="0" w:type="dxa"/>
            <w:bottom w:w="0" w:type="dxa"/>
            <w:right w:w="0" w:type="dxa"/>
          </w:tblCellMar>
        </w:tblPrEx>
        <w:trPr>
          <w:trHeight w:val="457" w:hRule="atLeast"/>
          <w:jc w:val="center"/>
        </w:trPr>
        <w:tc>
          <w:tcPr>
            <w:tcW w:w="8918" w:type="dxa"/>
            <w:gridSpan w:val="4"/>
            <w:tcBorders>
              <w:top w:val="single" w:color="000000" w:sz="2" w:space="0"/>
              <w:bottom w:val="single" w:color="000000" w:sz="2" w:space="0"/>
            </w:tcBorders>
            <w:shd w:val="clear" w:color="auto" w:fill="FFFFFF"/>
            <w:noWrap w:val="0"/>
            <w:vAlign w:val="center"/>
          </w:tcPr>
          <w:p w14:paraId="773C77B7">
            <w:pPr>
              <w:jc w:val="center"/>
              <w:rPr>
                <w:rFonts w:ascii="黑体" w:hAnsi="黑体" w:eastAsia="黑体" w:cs="黑体"/>
                <w:spacing w:val="14"/>
                <w:sz w:val="28"/>
                <w:szCs w:val="28"/>
              </w:rPr>
            </w:pPr>
            <w:bookmarkStart w:id="0" w:name="_GoBack"/>
            <w:r>
              <w:rPr>
                <w:rFonts w:ascii="黑体" w:hAnsi="黑体" w:eastAsia="黑体" w:cs="黑体"/>
                <w:spacing w:val="14"/>
                <w:sz w:val="28"/>
                <w:szCs w:val="28"/>
              </w:rPr>
              <w:t>教</w:t>
            </w:r>
            <w:r>
              <w:rPr>
                <w:rFonts w:ascii="黑体" w:hAnsi="黑体" w:eastAsia="黑体" w:cs="黑体"/>
                <w:spacing w:val="7"/>
                <w:sz w:val="28"/>
                <w:szCs w:val="28"/>
              </w:rPr>
              <w:t xml:space="preserve"> 学 实 施 过 程</w:t>
            </w:r>
            <w:bookmarkEnd w:id="0"/>
          </w:p>
        </w:tc>
      </w:tr>
      <w:tr w14:paraId="050450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blCellMar>
            <w:top w:w="0" w:type="dxa"/>
            <w:left w:w="0" w:type="dxa"/>
            <w:bottom w:w="0" w:type="dxa"/>
            <w:right w:w="0" w:type="dxa"/>
          </w:tblCellMar>
        </w:tblPrEx>
        <w:trPr>
          <w:trHeight w:val="450" w:hRule="atLeast"/>
          <w:jc w:val="center"/>
        </w:trPr>
        <w:tc>
          <w:tcPr>
            <w:tcW w:w="1314" w:type="dxa"/>
            <w:tcBorders>
              <w:top w:val="single" w:color="000000" w:sz="2" w:space="0"/>
              <w:bottom w:val="single" w:color="000000" w:sz="2" w:space="0"/>
            </w:tcBorders>
            <w:shd w:val="clear" w:color="auto" w:fill="FFFFFF"/>
            <w:noWrap w:val="0"/>
            <w:vAlign w:val="center"/>
          </w:tcPr>
          <w:p w14:paraId="03289E6A">
            <w:pPr>
              <w:jc w:val="center"/>
              <w:rPr>
                <w:rFonts w:ascii="宋体" w:hAnsi="宋体" w:cs="宋体"/>
              </w:rPr>
            </w:pPr>
            <w:r>
              <w:rPr>
                <w:rFonts w:ascii="宋体" w:hAnsi="宋体" w:cs="宋体"/>
                <w:spacing w:val="9"/>
              </w:rPr>
              <w:t>教</w:t>
            </w:r>
            <w:r>
              <w:rPr>
                <w:rFonts w:ascii="宋体" w:hAnsi="宋体" w:cs="宋体"/>
                <w:spacing w:val="7"/>
              </w:rPr>
              <w:t>学环节</w:t>
            </w:r>
            <w:r>
              <w:rPr>
                <w:rFonts w:hint="eastAsia" w:ascii="宋体" w:hAnsi="宋体" w:cs="宋体"/>
                <w:spacing w:val="7"/>
              </w:rPr>
              <w:t>及时间分配</w:t>
            </w:r>
          </w:p>
        </w:tc>
        <w:tc>
          <w:tcPr>
            <w:tcW w:w="4832" w:type="dxa"/>
            <w:tcBorders>
              <w:top w:val="single" w:color="000000" w:sz="2" w:space="0"/>
              <w:bottom w:val="single" w:color="000000" w:sz="2" w:space="0"/>
            </w:tcBorders>
            <w:shd w:val="clear" w:color="auto" w:fill="FFFFFF"/>
            <w:noWrap w:val="0"/>
            <w:vAlign w:val="center"/>
          </w:tcPr>
          <w:p w14:paraId="6DE1A651">
            <w:pPr>
              <w:jc w:val="center"/>
              <w:rPr>
                <w:rFonts w:ascii="宋体" w:hAnsi="宋体" w:cs="宋体"/>
              </w:rPr>
            </w:pPr>
            <w:r>
              <w:rPr>
                <w:rFonts w:ascii="宋体" w:hAnsi="宋体" w:cs="宋体"/>
                <w:spacing w:val="9"/>
              </w:rPr>
              <w:t>教</w:t>
            </w:r>
            <w:r>
              <w:rPr>
                <w:rFonts w:ascii="宋体" w:hAnsi="宋体" w:cs="宋体"/>
                <w:spacing w:val="7"/>
              </w:rPr>
              <w:t>学内容</w:t>
            </w:r>
          </w:p>
        </w:tc>
        <w:tc>
          <w:tcPr>
            <w:tcW w:w="1555" w:type="dxa"/>
            <w:tcBorders>
              <w:top w:val="single" w:color="000000" w:sz="2" w:space="0"/>
              <w:bottom w:val="single" w:color="000000" w:sz="2" w:space="0"/>
            </w:tcBorders>
            <w:shd w:val="clear" w:color="auto" w:fill="FFFFFF"/>
            <w:noWrap w:val="0"/>
            <w:vAlign w:val="center"/>
          </w:tcPr>
          <w:p w14:paraId="25E73364">
            <w:pPr>
              <w:jc w:val="center"/>
              <w:rPr>
                <w:rFonts w:ascii="宋体" w:hAnsi="宋体" w:cs="宋体"/>
              </w:rPr>
            </w:pPr>
            <w:r>
              <w:rPr>
                <w:rFonts w:ascii="宋体" w:hAnsi="宋体" w:cs="宋体"/>
                <w:spacing w:val="9"/>
              </w:rPr>
              <w:t>教</w:t>
            </w:r>
            <w:r>
              <w:rPr>
                <w:rFonts w:ascii="宋体" w:hAnsi="宋体" w:cs="宋体"/>
                <w:spacing w:val="7"/>
              </w:rPr>
              <w:t>师活动</w:t>
            </w:r>
          </w:p>
        </w:tc>
        <w:tc>
          <w:tcPr>
            <w:tcW w:w="1217" w:type="dxa"/>
            <w:tcBorders>
              <w:top w:val="single" w:color="000000" w:sz="2" w:space="0"/>
              <w:bottom w:val="single" w:color="000000" w:sz="2" w:space="0"/>
            </w:tcBorders>
            <w:shd w:val="clear" w:color="auto" w:fill="FFFFFF"/>
            <w:noWrap w:val="0"/>
            <w:vAlign w:val="center"/>
          </w:tcPr>
          <w:p w14:paraId="44D6E46D">
            <w:pPr>
              <w:jc w:val="center"/>
              <w:rPr>
                <w:rFonts w:ascii="宋体" w:hAnsi="宋体" w:cs="宋体"/>
              </w:rPr>
            </w:pPr>
            <w:r>
              <w:rPr>
                <w:rFonts w:ascii="宋体" w:hAnsi="宋体" w:cs="宋体"/>
                <w:spacing w:val="7"/>
              </w:rPr>
              <w:t>学生活动</w:t>
            </w:r>
          </w:p>
        </w:tc>
      </w:tr>
      <w:tr>
        <w:tc>
          <w:tcPr>
            <w:tcW w:type="dxa" w:w="1314"/>
            <w:vAlign w:val="center"/>
          </w:tcPr>
          <w:p>
            <w:pPr>
              <w:jc w:val="left"/>
            </w:pPr>
            <w:r>
              <w:t>案例导入与任务提出（10min）</w:t>
            </w:r>
          </w:p>
        </w:tc>
        <w:tc>
          <w:tcPr>
            <w:tcW w:type="dxa" w:w="4832"/>
            <w:vAlign w:val="center"/>
          </w:tcPr>
          <w:p>
            <w:pPr>
              <w:jc w:val="left"/>
            </w:pPr>
            <w:r>
              <w:t>1. 展示“个人信用报告”参考文档片段，讲解其内容严谨、数据准确的重要性。2. 类比提出：在电子焊接中，元器件的参数就是电路的“信用数据”，识别与检测不准将导致整个系统“失信”（故障）。3. 引出本节课核心任务：为给定的“元器件清单”制作一份准确的“元器件检测信用报告”。</w:t>
            </w:r>
          </w:p>
        </w:tc>
        <w:tc>
          <w:tcPr>
            <w:tcW w:type="dxa" w:w="1555"/>
            <w:vAlign w:val="center"/>
          </w:tcPr>
          <w:p>
            <w:pPr>
              <w:jc w:val="left"/>
            </w:pPr>
            <w:r>
              <w:t>展示PPT案例，进行类比讲解，发布本节课总任务及要求。</w:t>
            </w:r>
          </w:p>
        </w:tc>
        <w:tc>
          <w:tcPr>
            <w:tcW w:type="dxa" w:w="1217"/>
            <w:vAlign w:val="center"/>
          </w:tcPr>
          <w:p>
            <w:pPr>
              <w:jc w:val="left"/>
            </w:pPr>
            <w:r>
              <w:t>聆听、思考案例与专业的联系，明确本节课的学习目标和任务。</w:t>
            </w:r>
          </w:p>
        </w:tc>
      </w:tr>
      <w:tr>
        <w:tc>
          <w:tcPr>
            <w:tcW w:type="dxa" w:w="1314"/>
            <w:vAlign w:val="center"/>
          </w:tcPr>
          <w:p>
            <w:pPr>
              <w:jc w:val="left"/>
            </w:pPr>
            <w:r>
              <w:t>新知讲解与示范（25min）</w:t>
            </w:r>
          </w:p>
        </w:tc>
        <w:tc>
          <w:tcPr>
            <w:tcW w:type="dxa" w:w="4832"/>
            <w:vAlign w:val="center"/>
          </w:tcPr>
          <w:p>
            <w:pPr>
              <w:jc w:val="left"/>
            </w:pPr>
            <w:r>
              <w:t>1. 系统讲解电阻、电容、电感、二极管、三极管的参数标识方法（色环、直标、代码）。2. 重点演示使用万用表测量电阻阻值、判断二极管极性及好坏、判别三极管类型与引脚（E/B/C）的规范操作步骤与要领。3. 强调测量中的安全注意事项（如档位选择、表笔握持）。</w:t>
            </w:r>
          </w:p>
        </w:tc>
        <w:tc>
          <w:tcPr>
            <w:tcW w:type="dxa" w:w="1555"/>
            <w:vAlign w:val="center"/>
          </w:tcPr>
          <w:p>
            <w:pPr>
              <w:jc w:val="left"/>
            </w:pPr>
            <w:r>
              <w:t>结合实物和PPT进行讲解，利用摄像投影进行规范操作示范，强调关键点和易错点。</w:t>
            </w:r>
          </w:p>
        </w:tc>
        <w:tc>
          <w:tcPr>
            <w:tcW w:type="dxa" w:w="1217"/>
            <w:vAlign w:val="center"/>
          </w:tcPr>
          <w:p>
            <w:pPr>
              <w:jc w:val="left"/>
            </w:pPr>
            <w:r>
              <w:t>观看、听讲、记录要点，跟随教师示范进行模拟操作。</w:t>
            </w:r>
          </w:p>
        </w:tc>
      </w:tr>
      <w:tr>
        <w:tc>
          <w:tcPr>
            <w:tcW w:type="dxa" w:w="1314"/>
            <w:vAlign w:val="center"/>
          </w:tcPr>
          <w:p>
            <w:pPr>
              <w:jc w:val="left"/>
            </w:pPr>
            <w:r>
              <w:t>任务实施与小组探究（45min）</w:t>
            </w:r>
          </w:p>
        </w:tc>
        <w:tc>
          <w:tcPr>
            <w:tcW w:type="dxa" w:w="4832"/>
            <w:vAlign w:val="center"/>
          </w:tcPr>
          <w:p>
            <w:pPr>
              <w:jc w:val="left"/>
            </w:pPr>
            <w:r>
              <w:t>学生以小组为单位，领取内含多种未知状态元器件的“任务包”和检测工单。按照“识别-检测-记录-判断”的流程，合作完成对所有元器件的检测，并填写“元器件检测信用报告”，记录型号、实测参数、好坏判断及依据。</w:t>
            </w:r>
          </w:p>
        </w:tc>
        <w:tc>
          <w:tcPr>
            <w:tcW w:type="dxa" w:w="1555"/>
            <w:vAlign w:val="center"/>
          </w:tcPr>
          <w:p>
            <w:pPr>
              <w:jc w:val="left"/>
            </w:pPr>
            <w:r>
              <w:t>巡回指导，解答疑问，纠正不规范操作，检查小组进度，引导团队协作。</w:t>
            </w:r>
          </w:p>
        </w:tc>
        <w:tc>
          <w:tcPr>
            <w:tcW w:type="dxa" w:w="1217"/>
            <w:vAlign w:val="center"/>
          </w:tcPr>
          <w:p>
            <w:pPr>
              <w:jc w:val="left"/>
            </w:pPr>
            <w:r>
              <w:t>小组分工协作，运用工具和所学知识进行实践操作，讨论疑难问题，共同完成检测报告。</w:t>
            </w:r>
          </w:p>
        </w:tc>
      </w:tr>
      <w:tr>
        <w:tc>
          <w:tcPr>
            <w:tcW w:type="dxa" w:w="1314"/>
            <w:vAlign w:val="center"/>
          </w:tcPr>
          <w:p>
            <w:pPr>
              <w:jc w:val="left"/>
            </w:pPr>
            <w:r>
              <w:t>成果展示与点评（15min）</w:t>
            </w:r>
          </w:p>
        </w:tc>
        <w:tc>
          <w:tcPr>
            <w:tcW w:type="dxa" w:w="4832"/>
            <w:vAlign w:val="center"/>
          </w:tcPr>
          <w:p>
            <w:pPr>
              <w:jc w:val="left"/>
            </w:pPr>
            <w:r>
              <w:t>随机选取1-2个小组展示其填写的“元器件检测信用报告”，并简述检测过程与关键发现。教师和其他小组进行点评。教师结合学生报告中的典型问题（如误读、误测），进行集中纠错与强化讲解。</w:t>
            </w:r>
          </w:p>
        </w:tc>
        <w:tc>
          <w:tcPr>
            <w:tcW w:type="dxa" w:w="1555"/>
            <w:vAlign w:val="center"/>
          </w:tcPr>
          <w:p>
            <w:pPr>
              <w:jc w:val="left"/>
            </w:pPr>
            <w:r>
              <w:t>组织展示与互评，进行总结性点评，强化正确方法和规范意识。</w:t>
            </w:r>
          </w:p>
        </w:tc>
        <w:tc>
          <w:tcPr>
            <w:tcW w:type="dxa" w:w="1217"/>
            <w:vAlign w:val="center"/>
          </w:tcPr>
          <w:p>
            <w:pPr>
              <w:jc w:val="left"/>
            </w:pPr>
            <w:r>
              <w:t>小组代表展示成果，参与互评，聆听教师总结，反思自身不足。</w:t>
            </w:r>
          </w:p>
        </w:tc>
      </w:tr>
      <w:tr>
        <w:tc>
          <w:tcPr>
            <w:tcW w:type="dxa" w:w="1314"/>
            <w:vAlign w:val="center"/>
          </w:tcPr>
          <w:p>
            <w:pPr>
              <w:jc w:val="left"/>
            </w:pPr>
            <w:r>
              <w:t>总结提升与作业布置（10min）</w:t>
            </w:r>
          </w:p>
        </w:tc>
        <w:tc>
          <w:tcPr>
            <w:tcW w:type="dxa" w:w="4832"/>
            <w:vAlign w:val="center"/>
          </w:tcPr>
          <w:p>
            <w:pPr>
              <w:jc w:val="left"/>
            </w:pPr>
            <w:r>
              <w:t>1. 总结本节课核心知识点与技能要点。2. 再次强调元器件准确识别与规范检测对保障焊接质量和电路可靠性的重要意义，呼应导入的“信用”理念。3. 布置课外作业。</w:t>
            </w:r>
          </w:p>
        </w:tc>
        <w:tc>
          <w:tcPr>
            <w:tcW w:type="dxa" w:w="1555"/>
            <w:vAlign w:val="center"/>
          </w:tcPr>
          <w:p>
            <w:pPr>
              <w:jc w:val="left"/>
            </w:pPr>
            <w:r>
              <w:t>系统总结，升华课程思政主题，布置作业。</w:t>
            </w:r>
          </w:p>
        </w:tc>
        <w:tc>
          <w:tcPr>
            <w:tcW w:type="dxa" w:w="1217"/>
            <w:vAlign w:val="center"/>
          </w:tcPr>
          <w:p>
            <w:pPr>
              <w:jc w:val="left"/>
            </w:pPr>
            <w:r>
              <w:t>回顾整理，加深理解，记录作业。</w:t>
            </w:r>
          </w:p>
        </w:tc>
      </w:tr>
      <w:tr w14:paraId="665CA7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blCellMar>
            <w:top w:w="0" w:type="dxa"/>
            <w:left w:w="0" w:type="dxa"/>
            <w:bottom w:w="0" w:type="dxa"/>
            <w:right w:w="0" w:type="dxa"/>
          </w:tblCellMar>
        </w:tblPrEx>
        <w:trPr>
          <w:trHeight w:val="1206" w:hRule="atLeast"/>
          <w:jc w:val="center"/>
        </w:trPr>
        <w:tc>
          <w:tcPr>
            <w:tcW w:w="1314" w:type="dxa"/>
            <w:tcBorders>
              <w:top w:val="single" w:color="000000" w:sz="2" w:space="0"/>
              <w:bottom w:val="single" w:color="000000" w:sz="2" w:space="0"/>
            </w:tcBorders>
            <w:shd w:val="clear" w:color="auto" w:fill="FFFFFF"/>
            <w:noWrap w:val="0"/>
            <w:vAlign w:val="center"/>
          </w:tcPr>
          <w:p w14:paraId="75C3D506">
            <w:pPr>
              <w:jc w:val="center"/>
              <w:rPr>
                <w:rFonts w:ascii="宋体" w:hAnsi="宋体" w:cs="宋体"/>
                <w:spacing w:val="7"/>
              </w:rPr>
            </w:pPr>
            <w:r>
              <w:rPr>
                <w:rFonts w:hint="eastAsia" w:ascii="宋体" w:hAnsi="宋体" w:cs="宋体"/>
                <w:spacing w:val="7"/>
              </w:rPr>
              <w:t>课外作业</w:t>
            </w:r>
          </w:p>
        </w:tc>
        <w:tc>
          <w:tcPr>
            <w:tcW w:w="7604" w:type="dxa"/>
            <w:gridSpan w:val="3"/>
            <w:tcBorders>
              <w:top w:val="single" w:color="000000" w:sz="2" w:space="0"/>
              <w:bottom w:val="single" w:color="000000" w:sz="2" w:space="0"/>
            </w:tcBorders>
            <w:shd w:val="clear" w:color="auto" w:fill="FFFFFF"/>
            <w:noWrap w:val="0"/>
            <w:vAlign w:val="center"/>
          </w:tcPr>
          <w:p>
            <w:pPr>
              <w:jc w:val="left"/>
            </w:pPr>
            <w:r>
              <w:t>1. 基础题：整理课堂填写的“元器件检测信用报告”，并查阅资料，补充报告中每种元器件的典型应用电路1-2例。</w:t>
              <w:br/>
              <w:t>2. 提升题：给定一个简单的LED闪烁电路原理图，请列出所需元器件清单，并说明在焊接前应对清单中哪些关键元器件进行何种检测，以及预期的检测结果。</w:t>
              <w:br/>
              <w:t>3. 预习：预习下一课时“手工焊接基础操作”的内容，了解电烙铁的结构、使用注意事项及焊锡、助焊剂的作用。</w:t>
            </w:r>
          </w:p>
        </w:tc>
      </w:tr>
      <w:tr w14:paraId="010FDB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FFFFF"/>
          <w:tblCellMar>
            <w:top w:w="0" w:type="dxa"/>
            <w:left w:w="0" w:type="dxa"/>
            <w:bottom w:w="0" w:type="dxa"/>
            <w:right w:w="0" w:type="dxa"/>
          </w:tblCellMar>
        </w:tblPrEx>
        <w:trPr>
          <w:trHeight w:val="896" w:hRule="atLeast"/>
          <w:jc w:val="center"/>
        </w:trPr>
        <w:tc>
          <w:tcPr>
            <w:tcW w:w="1314" w:type="dxa"/>
            <w:tcBorders>
              <w:top w:val="single" w:color="000000" w:sz="2" w:space="0"/>
              <w:bottom w:val="single" w:color="000000" w:sz="2" w:space="0"/>
            </w:tcBorders>
            <w:shd w:val="clear" w:color="auto" w:fill="FFFFFF"/>
            <w:noWrap w:val="0"/>
            <w:vAlign w:val="center"/>
          </w:tcPr>
          <w:p w14:paraId="47451096">
            <w:pPr>
              <w:jc w:val="center"/>
              <w:rPr>
                <w:rFonts w:ascii="宋体" w:hAnsi="宋体" w:cs="宋体"/>
                <w:spacing w:val="7"/>
              </w:rPr>
            </w:pPr>
            <w:r>
              <w:rPr>
                <w:rFonts w:hint="eastAsia" w:ascii="宋体" w:hAnsi="宋体" w:cs="宋体"/>
                <w:spacing w:val="7"/>
              </w:rPr>
              <w:t>教学反思</w:t>
            </w:r>
          </w:p>
        </w:tc>
        <w:tc>
          <w:tcPr>
            <w:tcW w:w="7604" w:type="dxa"/>
            <w:gridSpan w:val="3"/>
            <w:tcBorders>
              <w:top w:val="single" w:color="000000" w:sz="2" w:space="0"/>
              <w:bottom w:val="single" w:color="000000" w:sz="2" w:space="0"/>
            </w:tcBorders>
            <w:shd w:val="clear" w:color="auto" w:fill="FFFFFF"/>
            <w:noWrap w:val="0"/>
            <w:vAlign w:val="center"/>
          </w:tcPr>
          <w:p>
            <w:pPr>
              <w:jc w:val="left"/>
            </w:pPr>
            <w:r/>
          </w:p>
        </w:tc>
      </w:tr>
    </w:tbl>
    <w:p w14:paraId="353579FE">
      <w:pPr>
        <w:jc w:val="left"/>
        <w:rPr>
          <w:rFonts w:hint="eastAsia"/>
          <w:sz w:val="10"/>
        </w:rPr>
      </w:pPr>
    </w:p>
    <w:sectPr>
      <w:pgSz w:w="11907" w:h="16840"/>
      <w:pgMar w:top="1304" w:right="1134" w:bottom="1247" w:left="1701"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00"/>
    <w:family w:val="auto"/>
    <w:pitch w:val="default"/>
    <w:sig w:usb0="00000000" w:usb1="00000000" w:usb2="00000000" w:usb3="00000000" w:csb0="00040001"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g1MTM5OWNkZTVjMjY2ZGEyNjhjMmNmNDA4NDBhZjQifQ=="/>
  </w:docVars>
  <w:rsids>
    <w:rsidRoot w:val="00E72E06"/>
    <w:rsid w:val="00074944"/>
    <w:rsid w:val="000A0417"/>
    <w:rsid w:val="000C01FE"/>
    <w:rsid w:val="000D300E"/>
    <w:rsid w:val="000E32B8"/>
    <w:rsid w:val="0011732B"/>
    <w:rsid w:val="001E2870"/>
    <w:rsid w:val="0021194F"/>
    <w:rsid w:val="00211D8D"/>
    <w:rsid w:val="00216FA2"/>
    <w:rsid w:val="002733F5"/>
    <w:rsid w:val="00290225"/>
    <w:rsid w:val="002A474E"/>
    <w:rsid w:val="002E24E0"/>
    <w:rsid w:val="00345C68"/>
    <w:rsid w:val="0034739E"/>
    <w:rsid w:val="0036799A"/>
    <w:rsid w:val="00403D23"/>
    <w:rsid w:val="004041F9"/>
    <w:rsid w:val="004300FA"/>
    <w:rsid w:val="00437223"/>
    <w:rsid w:val="00452746"/>
    <w:rsid w:val="0046593D"/>
    <w:rsid w:val="004667BD"/>
    <w:rsid w:val="004770BF"/>
    <w:rsid w:val="004B4670"/>
    <w:rsid w:val="004C2778"/>
    <w:rsid w:val="0052105E"/>
    <w:rsid w:val="0053081C"/>
    <w:rsid w:val="005A4016"/>
    <w:rsid w:val="005D4583"/>
    <w:rsid w:val="00620F36"/>
    <w:rsid w:val="006264AA"/>
    <w:rsid w:val="00691C48"/>
    <w:rsid w:val="006A4F73"/>
    <w:rsid w:val="006C2A23"/>
    <w:rsid w:val="006D103F"/>
    <w:rsid w:val="006E6C24"/>
    <w:rsid w:val="006E6CC9"/>
    <w:rsid w:val="00736D03"/>
    <w:rsid w:val="00765D99"/>
    <w:rsid w:val="00773524"/>
    <w:rsid w:val="0079385E"/>
    <w:rsid w:val="007A434B"/>
    <w:rsid w:val="007A7E07"/>
    <w:rsid w:val="007C0AB8"/>
    <w:rsid w:val="007C5152"/>
    <w:rsid w:val="007D4165"/>
    <w:rsid w:val="007D4EAF"/>
    <w:rsid w:val="00826708"/>
    <w:rsid w:val="00836708"/>
    <w:rsid w:val="008517D3"/>
    <w:rsid w:val="009002FF"/>
    <w:rsid w:val="00906531"/>
    <w:rsid w:val="00923115"/>
    <w:rsid w:val="00925998"/>
    <w:rsid w:val="00992A1A"/>
    <w:rsid w:val="009C24E8"/>
    <w:rsid w:val="009D6571"/>
    <w:rsid w:val="009E1985"/>
    <w:rsid w:val="00AD7F22"/>
    <w:rsid w:val="00B03980"/>
    <w:rsid w:val="00B26B28"/>
    <w:rsid w:val="00B3110D"/>
    <w:rsid w:val="00B4102A"/>
    <w:rsid w:val="00B654FA"/>
    <w:rsid w:val="00B67989"/>
    <w:rsid w:val="00B7380A"/>
    <w:rsid w:val="00BA13B6"/>
    <w:rsid w:val="00BB320E"/>
    <w:rsid w:val="00BF2593"/>
    <w:rsid w:val="00BF6032"/>
    <w:rsid w:val="00C01AE8"/>
    <w:rsid w:val="00C10250"/>
    <w:rsid w:val="00C14611"/>
    <w:rsid w:val="00C30851"/>
    <w:rsid w:val="00C379CB"/>
    <w:rsid w:val="00C41FF5"/>
    <w:rsid w:val="00C60D77"/>
    <w:rsid w:val="00CE3AA2"/>
    <w:rsid w:val="00CE744B"/>
    <w:rsid w:val="00CF42A8"/>
    <w:rsid w:val="00D5791B"/>
    <w:rsid w:val="00D96390"/>
    <w:rsid w:val="00DF6BD8"/>
    <w:rsid w:val="00E00565"/>
    <w:rsid w:val="00E408DE"/>
    <w:rsid w:val="00E72E06"/>
    <w:rsid w:val="00E73AD6"/>
    <w:rsid w:val="00EA3267"/>
    <w:rsid w:val="00EA66B0"/>
    <w:rsid w:val="00ED45FC"/>
    <w:rsid w:val="00ED7E40"/>
    <w:rsid w:val="00F4521A"/>
    <w:rsid w:val="00FC2260"/>
    <w:rsid w:val="00FE58EE"/>
    <w:rsid w:val="00FF4058"/>
    <w:rsid w:val="10776A03"/>
    <w:rsid w:val="167354E7"/>
    <w:rsid w:val="1F6941A8"/>
    <w:rsid w:val="3B6505B6"/>
    <w:rsid w:val="51EB286F"/>
    <w:rsid w:val="6762319D"/>
    <w:rsid w:val="761A7D0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character" w:default="1" w:styleId="6">
    <w:name w:val="Default Paragraph Font"/>
    <w:semiHidden/>
    <w:uiPriority w:val="0"/>
  </w:style>
  <w:style w:type="table" w:default="1" w:styleId="4">
    <w:name w:val="Normal Table"/>
    <w:semiHidden/>
    <w:uiPriority w:val="0"/>
    <w:tblPr>
      <w:tblStyle w:val="4"/>
      <w:tblCellMar>
        <w:top w:w="0" w:type="dxa"/>
        <w:left w:w="108" w:type="dxa"/>
        <w:bottom w:w="0" w:type="dxa"/>
        <w:right w:w="108" w:type="dxa"/>
      </w:tblCellMar>
    </w:tblPr>
  </w:style>
  <w:style w:type="paragraph" w:styleId="2">
    <w:name w:val="footer"/>
    <w:basedOn w:val="1"/>
    <w:link w:val="7"/>
    <w:uiPriority w:val="0"/>
    <w:pPr>
      <w:tabs>
        <w:tab w:val="center" w:pos="4153"/>
        <w:tab w:val="right" w:pos="8306"/>
      </w:tabs>
      <w:snapToGrid w:val="0"/>
      <w:jc w:val="left"/>
    </w:pPr>
    <w:rPr>
      <w:sz w:val="18"/>
      <w:szCs w:val="18"/>
    </w:rPr>
  </w:style>
  <w:style w:type="paragraph" w:styleId="3">
    <w:name w:val="header"/>
    <w:basedOn w:val="1"/>
    <w:link w:val="8"/>
    <w:uiPriority w:val="0"/>
    <w:pPr>
      <w:pBdr>
        <w:bottom w:val="single" w:color="auto" w:sz="6" w:space="1"/>
      </w:pBdr>
      <w:tabs>
        <w:tab w:val="center" w:pos="4153"/>
        <w:tab w:val="right" w:pos="8306"/>
      </w:tabs>
      <w:snapToGrid w:val="0"/>
      <w:jc w:val="center"/>
    </w:pPr>
    <w:rPr>
      <w:sz w:val="18"/>
      <w:szCs w:val="18"/>
    </w:rPr>
  </w:style>
  <w:style w:type="table" w:styleId="5">
    <w:name w:val="Table Grid"/>
    <w:basedOn w:val="4"/>
    <w:uiPriority w:val="0"/>
    <w:pPr>
      <w:widowControl w:val="0"/>
      <w:jc w:val="both"/>
    </w:pPr>
    <w:tblPr>
      <w:tblStyle w:val="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页脚 字符"/>
    <w:link w:val="2"/>
    <w:uiPriority w:val="0"/>
    <w:rPr>
      <w:kern w:val="2"/>
      <w:sz w:val="18"/>
      <w:szCs w:val="18"/>
    </w:rPr>
  </w:style>
  <w:style w:type="character" w:customStyle="1" w:styleId="8">
    <w:name w:val="页眉 字符"/>
    <w:link w:val="3"/>
    <w:uiPriority w:val="0"/>
    <w:rPr>
      <w:kern w:val="2"/>
      <w:sz w:val="18"/>
      <w:szCs w:val="18"/>
    </w:rPr>
  </w:style>
  <w:style w:type="table" w:customStyle="1" w:styleId="9">
    <w:name w:val="Table Normal"/>
    <w:unhideWhenUsed/>
    <w:qFormat/>
    <w:uiPriority w:val="0"/>
    <w:rPr>
      <w:lang w:val="en-US" w:eastAsia="zh-CN" w:bidi="ar-SA"/>
    </w:rPr>
    <w:tblPr>
      <w:tblStyle w:val="4"/>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2ndSpAcE</Company>
  <Pages>3</Pages>
  <Words>193</Words>
  <Characters>199</Characters>
  <Lines>7</Lines>
  <Paragraphs>1</Paragraphs>
  <TotalTime>21</TotalTime>
  <ScaleCrop>false</ScaleCrop>
  <LinksUpToDate>false</LinksUpToDate>
  <CharactersWithSpaces>400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2025-09-20T04:26:00Z</dcterms:created>
  <dc:creator>Image</dc:creator>
  <cp:lastModifiedBy>徐洁</cp:lastModifiedBy>
  <cp:lastPrinted>2005-06-05T04:53:00Z</cp:lastPrinted>
  <dcterms:modified xsi:type="dcterms:W3CDTF">2026-02-11T16:10:55Z</dcterms:modified>
  <dc:title>附表八</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BF15433B81A6410B8FC440CA569579A8_13</vt:lpwstr>
  </property>
  <property fmtid="{D5CDD505-2E9C-101B-9397-08002B2CF9AE}" pid="4" name="KSOTemplateDocerSaveRecord">
    <vt:lpwstr>eyJoZGlkIjoiOTc3M2Y5NzIzMDFlZjAyY2Q4Njk5ODkyYjFjNzBiNTQiLCJ1c2VySWQiOiIxNjYxNTQwNjczIn0=</vt:lpwstr>
  </property>
</Properties>
</file>