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F3DF2E">
      <w:pPr>
        <w:rPr>
          <w:rFonts w:hint="eastAsia" w:eastAsia="仿宋_GB2312"/>
          <w:b/>
          <w:bCs/>
          <w:sz w:val="28"/>
        </w:rPr>
      </w:pPr>
    </w:p>
    <w:p w14:paraId="2B387E5C">
      <w:pPr>
        <w:rPr>
          <w:rFonts w:hint="eastAsia" w:eastAsia="仿宋_GB2312"/>
          <w:b/>
          <w:bCs/>
          <w:sz w:val="28"/>
        </w:rPr>
      </w:pPr>
    </w:p>
    <w:p w14:paraId="118B726E">
      <w:pPr>
        <w:spacing w:line="360" w:lineRule="auto"/>
        <w:jc w:val="center"/>
        <w:rPr>
          <w:rFonts w:hint="eastAsia"/>
          <w:b/>
          <w:bCs/>
          <w:sz w:val="44"/>
          <w:szCs w:val="44"/>
        </w:rPr>
      </w:pPr>
      <w:r>
        <w:rPr>
          <w:rFonts w:hint="eastAsia"/>
          <w:b/>
          <w:bCs/>
          <w:sz w:val="44"/>
          <w:szCs w:val="44"/>
        </w:rPr>
        <w:t>江苏联合职业技术学院相城中专办学点</w:t>
      </w:r>
    </w:p>
    <w:p w14:paraId="6BED630F">
      <w:pPr>
        <w:jc w:val="center"/>
        <w:rPr>
          <w:rFonts w:hint="eastAsia" w:eastAsia="仿宋_GB2312"/>
          <w:b/>
          <w:bCs/>
          <w:spacing w:val="30"/>
          <w:sz w:val="36"/>
        </w:rPr>
      </w:pPr>
    </w:p>
    <w:p w14:paraId="3A190DE0">
      <w:pPr>
        <w:widowControl/>
        <w:kinsoku w:val="0"/>
        <w:autoSpaceDE w:val="0"/>
        <w:autoSpaceDN w:val="0"/>
        <w:adjustRightInd w:val="0"/>
        <w:snapToGrid w:val="0"/>
        <w:jc w:val="center"/>
        <w:textAlignment w:val="baseline"/>
        <w:rPr>
          <w:rFonts w:hint="eastAsia" w:ascii="黑体" w:hAnsi="黑体" w:eastAsia="黑体" w:cs="黑体"/>
          <w:b/>
          <w:bCs/>
          <w:snapToGrid w:val="0"/>
          <w:color w:val="000000"/>
          <w:kern w:val="0"/>
          <w:sz w:val="56"/>
          <w:szCs w:val="56"/>
        </w:rPr>
      </w:pPr>
      <w:r>
        <w:rPr>
          <w:rFonts w:hint="eastAsia" w:ascii="黑体" w:hAnsi="黑体" w:eastAsia="黑体" w:cs="黑体"/>
          <w:b/>
          <w:bCs/>
          <w:snapToGrid w:val="0"/>
          <w:color w:val="000000"/>
          <w:kern w:val="0"/>
          <w:sz w:val="56"/>
          <w:szCs w:val="56"/>
        </w:rPr>
        <w:t>教 师 教 案 本</w:t>
      </w:r>
    </w:p>
    <w:p w14:paraId="16B76C8F">
      <w:pPr>
        <w:jc w:val="center"/>
        <w:rPr>
          <w:rFonts w:hint="eastAsia" w:eastAsia="仿宋_GB2312"/>
          <w:b/>
          <w:bCs/>
          <w:sz w:val="52"/>
        </w:rPr>
      </w:pPr>
    </w:p>
    <w:p w14:paraId="15DAE808">
      <w:pPr>
        <w:spacing w:line="360" w:lineRule="auto"/>
        <w:jc w:val="center"/>
        <w:rPr>
          <w:rFonts w:hint="eastAsia"/>
          <w:sz w:val="28"/>
        </w:rPr>
      </w:pPr>
    </w:p>
    <w:p w14:paraId="64390D01">
      <w:pPr>
        <w:rPr>
          <w:rFonts w:hint="eastAsia" w:ascii="宋体" w:hAnsi="宋体"/>
          <w:sz w:val="28"/>
        </w:rPr>
      </w:pPr>
    </w:p>
    <w:p w14:paraId="5878C7BD">
      <w:pPr>
        <w:jc w:val="center"/>
        <w:rPr>
          <w:rFonts w:hint="eastAsia" w:ascii="宋体" w:hAnsi="宋体"/>
          <w:b/>
          <w:sz w:val="32"/>
        </w:rPr>
      </w:pPr>
      <w:r>
        <w:rPr>
          <w:rFonts w:hint="eastAsia" w:ascii="宋体" w:hAnsi="宋体"/>
          <w:b/>
          <w:sz w:val="32"/>
        </w:rPr>
        <w:t>（20  — 20  学年   第</w:t>
      </w:r>
      <w:r>
        <w:rPr>
          <w:rFonts w:hint="eastAsia" w:ascii="宋体" w:hAnsi="宋体"/>
          <w:b/>
          <w:sz w:val="32"/>
          <w:u w:val="single"/>
        </w:rPr>
        <w:t xml:space="preserve">    </w:t>
      </w:r>
      <w:r>
        <w:rPr>
          <w:rFonts w:hint="eastAsia" w:ascii="宋体" w:hAnsi="宋体"/>
          <w:b/>
          <w:sz w:val="32"/>
        </w:rPr>
        <w:t>学期）</w:t>
      </w:r>
    </w:p>
    <w:p w14:paraId="39E91017">
      <w:pPr>
        <w:jc w:val="center"/>
        <w:rPr>
          <w:rFonts w:hint="eastAsia" w:ascii="宋体" w:hAnsi="宋体"/>
          <w:b/>
          <w:sz w:val="32"/>
        </w:rPr>
      </w:pPr>
    </w:p>
    <w:p w14:paraId="505C9F7E">
      <w:pPr>
        <w:jc w:val="center"/>
        <w:rPr>
          <w:rFonts w:hint="eastAsia" w:ascii="宋体" w:hAnsi="宋体"/>
          <w:sz w:val="32"/>
        </w:rPr>
      </w:pPr>
    </w:p>
    <w:p w14:paraId="5518E3F8">
      <w:pPr>
        <w:jc w:val="center"/>
        <w:rPr>
          <w:rFonts w:hint="eastAsia" w:ascii="宋体" w:hAnsi="宋体"/>
          <w:sz w:val="32"/>
        </w:rPr>
      </w:pPr>
    </w:p>
    <w:tbl>
      <w:tblPr>
        <w:tblStyle w:val="4"/>
        <w:tblW w:w="0" w:type="auto"/>
        <w:tblInd w:w="0" w:type="dxa"/>
        <w:tblLayout w:type="autofit"/>
        <w:tblCellMar>
          <w:top w:w="0" w:type="dxa"/>
          <w:left w:w="108" w:type="dxa"/>
          <w:bottom w:w="0" w:type="dxa"/>
          <w:right w:w="108" w:type="dxa"/>
        </w:tblCellMar>
      </w:tblPr>
      <w:tblGrid>
        <w:gridCol w:w="2687"/>
        <w:gridCol w:w="5835"/>
      </w:tblGrid>
      <w:tr w14:paraId="2FC7FFFF">
        <w:tblPrEx>
          <w:tblCellMar>
            <w:top w:w="0" w:type="dxa"/>
            <w:left w:w="108" w:type="dxa"/>
            <w:bottom w:w="0" w:type="dxa"/>
            <w:right w:w="108" w:type="dxa"/>
          </w:tblCellMar>
        </w:tblPrEx>
        <w:trPr>
          <w:trHeight w:val="816" w:hRule="atLeast"/>
        </w:trPr>
        <w:tc>
          <w:tcPr>
            <w:tcW w:w="2687" w:type="dxa"/>
            <w:noWrap w:val="0"/>
            <w:vAlign w:val="center"/>
          </w:tcPr>
          <w:p w14:paraId="6F1846C8">
            <w:pPr>
              <w:jc w:val="right"/>
              <w:rPr>
                <w:sz w:val="32"/>
                <w:szCs w:val="32"/>
              </w:rPr>
            </w:pPr>
            <w:r>
              <w:rPr>
                <w:rFonts w:hint="eastAsia"/>
                <w:sz w:val="32"/>
                <w:szCs w:val="32"/>
              </w:rPr>
              <w:t>院    系</w:t>
            </w:r>
          </w:p>
        </w:tc>
        <w:tc>
          <w:tcPr>
            <w:tcW w:w="5835" w:type="dxa"/>
            <w:noWrap w:val="0"/>
            <w:vAlign w:val="center"/>
          </w:tcPr>
          <w:p w14:paraId="68156924">
            <w:pPr>
              <w:rPr>
                <w:sz w:val="32"/>
                <w:szCs w:val="32"/>
              </w:rPr>
            </w:pPr>
            <w:r>
              <w:rPr>
                <w:rFonts w:hint="eastAsia"/>
                <w:sz w:val="32"/>
                <w:szCs w:val="32"/>
                <w:u w:val="single"/>
              </w:rPr>
              <w:t xml:space="preserve">                                   </w:t>
            </w:r>
          </w:p>
        </w:tc>
      </w:tr>
      <w:tr w14:paraId="3DDE05BA">
        <w:tblPrEx>
          <w:tblCellMar>
            <w:top w:w="0" w:type="dxa"/>
            <w:left w:w="108" w:type="dxa"/>
            <w:bottom w:w="0" w:type="dxa"/>
            <w:right w:w="108" w:type="dxa"/>
          </w:tblCellMar>
        </w:tblPrEx>
        <w:trPr>
          <w:trHeight w:val="816" w:hRule="atLeast"/>
        </w:trPr>
        <w:tc>
          <w:tcPr>
            <w:tcW w:w="2687" w:type="dxa"/>
            <w:noWrap w:val="0"/>
            <w:vAlign w:val="center"/>
          </w:tcPr>
          <w:p w14:paraId="430DBA8A">
            <w:pPr>
              <w:jc w:val="right"/>
              <w:rPr>
                <w:sz w:val="32"/>
                <w:szCs w:val="32"/>
              </w:rPr>
            </w:pPr>
            <w:r>
              <w:rPr>
                <w:rFonts w:hint="eastAsia"/>
                <w:sz w:val="32"/>
                <w:szCs w:val="32"/>
              </w:rPr>
              <w:t>授课班级</w:t>
            </w:r>
          </w:p>
        </w:tc>
        <w:tc>
          <w:tcPr>
            <w:tcW w:w="5835" w:type="dxa"/>
            <w:noWrap w:val="0"/>
            <w:vAlign w:val="center"/>
          </w:tcPr>
          <w:p w14:paraId="4FD52CD6">
            <w:pPr>
              <w:rPr>
                <w:sz w:val="32"/>
                <w:szCs w:val="32"/>
                <w:u w:val="single"/>
              </w:rPr>
            </w:pPr>
            <w:r>
              <w:rPr>
                <w:rFonts w:hint="eastAsia"/>
                <w:sz w:val="32"/>
                <w:szCs w:val="32"/>
                <w:u w:val="single"/>
              </w:rPr>
              <w:t xml:space="preserve">                                    </w:t>
            </w:r>
          </w:p>
        </w:tc>
      </w:tr>
      <w:tr w14:paraId="28BFE392">
        <w:tblPrEx>
          <w:tblCellMar>
            <w:top w:w="0" w:type="dxa"/>
            <w:left w:w="108" w:type="dxa"/>
            <w:bottom w:w="0" w:type="dxa"/>
            <w:right w:w="108" w:type="dxa"/>
          </w:tblCellMar>
        </w:tblPrEx>
        <w:trPr>
          <w:trHeight w:val="816" w:hRule="atLeast"/>
        </w:trPr>
        <w:tc>
          <w:tcPr>
            <w:tcW w:w="2687" w:type="dxa"/>
            <w:noWrap w:val="0"/>
            <w:vAlign w:val="center"/>
          </w:tcPr>
          <w:p w14:paraId="4CD41525">
            <w:pPr>
              <w:jc w:val="right"/>
              <w:rPr>
                <w:sz w:val="32"/>
                <w:szCs w:val="32"/>
              </w:rPr>
            </w:pPr>
            <w:r>
              <w:rPr>
                <w:rFonts w:hint="eastAsia"/>
                <w:sz w:val="32"/>
                <w:szCs w:val="32"/>
              </w:rPr>
              <w:t>专业名称</w:t>
            </w:r>
          </w:p>
        </w:tc>
        <w:tc>
          <w:tcPr>
            <w:tcW w:w="5835" w:type="dxa"/>
            <w:noWrap w:val="0"/>
            <w:vAlign w:val="center"/>
          </w:tcPr>
          <w:p w14:paraId="608D2679">
            <w:pPr>
              <w:rPr>
                <w:sz w:val="32"/>
                <w:szCs w:val="32"/>
              </w:rPr>
            </w:pPr>
            <w:r>
              <w:rPr>
                <w:rFonts w:hint="eastAsia"/>
                <w:sz w:val="32"/>
                <w:szCs w:val="32"/>
                <w:u w:val="single"/>
              </w:rPr>
              <w:t xml:space="preserve">                                   </w:t>
            </w:r>
          </w:p>
        </w:tc>
      </w:tr>
      <w:tr w14:paraId="4134CB0F">
        <w:tblPrEx>
          <w:tblCellMar>
            <w:top w:w="0" w:type="dxa"/>
            <w:left w:w="108" w:type="dxa"/>
            <w:bottom w:w="0" w:type="dxa"/>
            <w:right w:w="108" w:type="dxa"/>
          </w:tblCellMar>
        </w:tblPrEx>
        <w:trPr>
          <w:trHeight w:val="816" w:hRule="atLeast"/>
        </w:trPr>
        <w:tc>
          <w:tcPr>
            <w:tcW w:w="2687" w:type="dxa"/>
            <w:noWrap w:val="0"/>
            <w:vAlign w:val="center"/>
          </w:tcPr>
          <w:p w14:paraId="602647AE">
            <w:pPr>
              <w:jc w:val="right"/>
              <w:rPr>
                <w:sz w:val="32"/>
                <w:szCs w:val="32"/>
              </w:rPr>
            </w:pPr>
            <w:r>
              <w:rPr>
                <w:rFonts w:hint="eastAsia"/>
                <w:sz w:val="32"/>
                <w:szCs w:val="32"/>
              </w:rPr>
              <w:t>课程名称</w:t>
            </w:r>
          </w:p>
        </w:tc>
        <w:tc>
          <w:tcPr>
            <w:tcW w:w="5835" w:type="dxa"/>
            <w:noWrap w:val="0"/>
            <w:vAlign w:val="center"/>
          </w:tcPr>
          <w:p w14:paraId="141BC3F0">
            <w:pPr>
              <w:rPr>
                <w:sz w:val="32"/>
                <w:szCs w:val="32"/>
              </w:rPr>
            </w:pPr>
            <w:r>
              <w:rPr>
                <w:rFonts w:hint="eastAsia"/>
                <w:sz w:val="32"/>
                <w:szCs w:val="32"/>
                <w:u w:val="single"/>
              </w:rPr>
              <w:t xml:space="preserve">                                   </w:t>
            </w:r>
          </w:p>
        </w:tc>
      </w:tr>
      <w:tr w14:paraId="0715EFA9">
        <w:tblPrEx>
          <w:tblCellMar>
            <w:top w:w="0" w:type="dxa"/>
            <w:left w:w="108" w:type="dxa"/>
            <w:bottom w:w="0" w:type="dxa"/>
            <w:right w:w="108" w:type="dxa"/>
          </w:tblCellMar>
        </w:tblPrEx>
        <w:trPr>
          <w:trHeight w:val="816" w:hRule="atLeast"/>
        </w:trPr>
        <w:tc>
          <w:tcPr>
            <w:tcW w:w="2687" w:type="dxa"/>
            <w:noWrap w:val="0"/>
            <w:vAlign w:val="center"/>
          </w:tcPr>
          <w:p w14:paraId="68922B21">
            <w:pPr>
              <w:jc w:val="right"/>
              <w:rPr>
                <w:sz w:val="32"/>
                <w:szCs w:val="32"/>
              </w:rPr>
            </w:pPr>
            <w:r>
              <w:rPr>
                <w:rFonts w:hint="eastAsia"/>
                <w:sz w:val="32"/>
                <w:szCs w:val="32"/>
              </w:rPr>
              <w:t>授课教师</w:t>
            </w:r>
          </w:p>
        </w:tc>
        <w:tc>
          <w:tcPr>
            <w:tcW w:w="5835" w:type="dxa"/>
            <w:noWrap w:val="0"/>
            <w:vAlign w:val="center"/>
          </w:tcPr>
          <w:p w14:paraId="217D5898">
            <w:pPr>
              <w:rPr>
                <w:sz w:val="32"/>
                <w:szCs w:val="32"/>
              </w:rPr>
            </w:pPr>
            <w:r>
              <w:rPr>
                <w:rFonts w:hint="eastAsia"/>
                <w:sz w:val="32"/>
                <w:szCs w:val="32"/>
                <w:u w:val="single"/>
              </w:rPr>
              <w:t xml:space="preserve">                                   </w:t>
            </w:r>
          </w:p>
        </w:tc>
      </w:tr>
    </w:tbl>
    <w:p w14:paraId="6B31C098">
      <w:pPr>
        <w:jc w:val="center"/>
        <w:rPr>
          <w:sz w:val="32"/>
          <w:szCs w:val="32"/>
        </w:rPr>
      </w:pPr>
    </w:p>
    <w:p w14:paraId="06319883">
      <w:pPr>
        <w:jc w:val="center"/>
        <w:rPr>
          <w:rFonts w:hint="eastAsia" w:ascii="宋体" w:hAnsi="宋体"/>
          <w:sz w:val="32"/>
        </w:rPr>
      </w:pPr>
    </w:p>
    <w:p w14:paraId="39FCA139">
      <w:pPr>
        <w:jc w:val="center"/>
        <w:rPr>
          <w:rFonts w:hint="eastAsia" w:ascii="宋体" w:hAnsi="宋体"/>
          <w:sz w:val="32"/>
        </w:rPr>
      </w:pPr>
    </w:p>
    <w:p w14:paraId="327F7D7D">
      <w:pPr>
        <w:jc w:val="center"/>
        <w:rPr>
          <w:rFonts w:hint="eastAsia" w:ascii="宋体" w:hAnsi="宋体"/>
          <w:sz w:val="32"/>
        </w:rPr>
      </w:pPr>
    </w:p>
    <w:p w14:paraId="50627E9F">
      <w:pPr>
        <w:rPr>
          <w:rFonts w:hint="eastAsia"/>
          <w:sz w:val="10"/>
        </w:rPr>
      </w:pPr>
    </w:p>
    <w:tbl>
      <w:tblPr>
        <w:tblStyle w:val="4"/>
        <w:tblW w:w="475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147"/>
        <w:gridCol w:w="1276"/>
        <w:gridCol w:w="1341"/>
        <w:gridCol w:w="1306"/>
        <w:gridCol w:w="2291"/>
      </w:tblGrid>
      <w:tr w14:paraId="23E3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5" w:hRule="atLeast"/>
        </w:trPr>
        <w:tc>
          <w:tcPr>
            <w:tcW w:w="834" w:type="pct"/>
            <w:noWrap w:val="0"/>
            <w:vAlign w:val="center"/>
          </w:tcPr>
          <w:p w14:paraId="1E35969B">
            <w:pPr>
              <w:spacing w:before="156" w:beforeLines="50" w:after="156" w:afterLines="50"/>
              <w:jc w:val="center"/>
              <w:rPr>
                <w:rFonts w:hint="eastAsia"/>
                <w:sz w:val="24"/>
              </w:rPr>
            </w:pPr>
            <w:r>
              <w:rPr>
                <w:rFonts w:hint="eastAsia"/>
                <w:sz w:val="24"/>
              </w:rPr>
              <w:t>课题名称</w:t>
            </w:r>
          </w:p>
        </w:tc>
        <w:tc>
          <w:tcPr>
            <w:tcW w:w="4165" w:type="pct"/>
            <w:gridSpan w:val="5"/>
            <w:noWrap w:val="0"/>
            <w:vAlign w:val="center"/>
          </w:tcPr>
          <w:p>
            <w:pPr>
              <w:jc w:val="left"/>
            </w:pPr>
            <w:r>
              <w:t>电子元器件认识</w:t>
            </w:r>
          </w:p>
        </w:tc>
      </w:tr>
      <w:tr w14:paraId="146A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834" w:type="pct"/>
            <w:noWrap w:val="0"/>
            <w:vAlign w:val="center"/>
          </w:tcPr>
          <w:p w14:paraId="134B192F">
            <w:pPr>
              <w:spacing w:before="156" w:beforeLines="50" w:after="156" w:afterLines="50"/>
              <w:jc w:val="center"/>
              <w:rPr>
                <w:rFonts w:hint="eastAsia"/>
                <w:sz w:val="24"/>
              </w:rPr>
            </w:pPr>
            <w:r>
              <w:rPr>
                <w:rFonts w:hint="eastAsia"/>
                <w:sz w:val="24"/>
              </w:rPr>
              <w:t>授课班级</w:t>
            </w:r>
          </w:p>
        </w:tc>
        <w:tc>
          <w:tcPr>
            <w:tcW w:w="2130" w:type="pct"/>
            <w:gridSpan w:val="3"/>
            <w:noWrap w:val="0"/>
            <w:vAlign w:val="center"/>
          </w:tcPr>
          <w:p>
            <w:pPr>
              <w:jc w:val="left"/>
            </w:pPr>
            <w:r>
              <w:t>电气自动化（2）班</w:t>
            </w:r>
          </w:p>
        </w:tc>
        <w:tc>
          <w:tcPr>
            <w:tcW w:w="739" w:type="pct"/>
            <w:noWrap w:val="0"/>
            <w:vAlign w:val="center"/>
          </w:tcPr>
          <w:p w14:paraId="3EC8CD94">
            <w:pPr>
              <w:spacing w:before="156" w:beforeLines="50" w:after="156" w:afterLines="50"/>
              <w:jc w:val="center"/>
              <w:rPr>
                <w:rFonts w:hint="eastAsia"/>
                <w:sz w:val="24"/>
              </w:rPr>
            </w:pPr>
            <w:r>
              <w:rPr>
                <w:rFonts w:hint="eastAsia"/>
                <w:sz w:val="24"/>
              </w:rPr>
              <w:t>授课地点</w:t>
            </w:r>
          </w:p>
        </w:tc>
        <w:tc>
          <w:tcPr>
            <w:tcW w:w="1295" w:type="pct"/>
            <w:noWrap w:val="0"/>
            <w:vAlign w:val="center"/>
          </w:tcPr>
          <w:p>
            <w:pPr>
              <w:jc w:val="left"/>
            </w:pPr>
            <w:r>
              <w:t>电子实训室</w:t>
            </w:r>
          </w:p>
        </w:tc>
      </w:tr>
      <w:tr w14:paraId="5BDDF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8" w:hRule="atLeast"/>
        </w:trPr>
        <w:tc>
          <w:tcPr>
            <w:tcW w:w="834" w:type="pct"/>
            <w:noWrap w:val="0"/>
            <w:vAlign w:val="center"/>
          </w:tcPr>
          <w:p w14:paraId="05FF524D">
            <w:pPr>
              <w:spacing w:before="156" w:beforeLines="50" w:after="156" w:afterLines="50"/>
              <w:jc w:val="center"/>
              <w:rPr>
                <w:rFonts w:hint="eastAsia"/>
                <w:sz w:val="24"/>
              </w:rPr>
            </w:pPr>
            <w:r>
              <w:rPr>
                <w:rFonts w:hint="eastAsia"/>
                <w:sz w:val="24"/>
              </w:rPr>
              <w:t>授课时间</w:t>
            </w:r>
          </w:p>
        </w:tc>
        <w:tc>
          <w:tcPr>
            <w:tcW w:w="649" w:type="pct"/>
            <w:noWrap w:val="0"/>
            <w:vAlign w:val="center"/>
          </w:tcPr>
          <w:p>
            <w:pPr>
              <w:jc w:val="left"/>
            </w:pPr>
            <w:r>
              <w:t>2026年2月15日</w:t>
            </w:r>
          </w:p>
        </w:tc>
        <w:tc>
          <w:tcPr>
            <w:tcW w:w="722" w:type="pct"/>
            <w:noWrap w:val="0"/>
            <w:vAlign w:val="center"/>
          </w:tcPr>
          <w:p w14:paraId="3CB75E9A">
            <w:pPr>
              <w:spacing w:before="156" w:beforeLines="50" w:after="156" w:afterLines="50"/>
              <w:jc w:val="center"/>
              <w:rPr>
                <w:rFonts w:hint="eastAsia"/>
                <w:sz w:val="24"/>
              </w:rPr>
            </w:pPr>
            <w:r>
              <w:rPr>
                <w:rFonts w:hint="eastAsia"/>
                <w:sz w:val="24"/>
              </w:rPr>
              <w:t>授课学时</w:t>
            </w:r>
          </w:p>
        </w:tc>
        <w:tc>
          <w:tcPr>
            <w:tcW w:w="758" w:type="pct"/>
            <w:noWrap w:val="0"/>
            <w:vAlign w:val="center"/>
          </w:tcPr>
          <w:p>
            <w:pPr>
              <w:jc w:val="left"/>
            </w:pPr>
            <w:r>
              <w:t>2学时</w:t>
            </w:r>
          </w:p>
        </w:tc>
        <w:tc>
          <w:tcPr>
            <w:tcW w:w="739" w:type="pct"/>
            <w:noWrap w:val="0"/>
            <w:vAlign w:val="center"/>
          </w:tcPr>
          <w:p w14:paraId="3D7902E7">
            <w:pPr>
              <w:spacing w:before="156" w:beforeLines="50" w:after="156" w:afterLines="50"/>
              <w:jc w:val="center"/>
              <w:rPr>
                <w:rFonts w:hint="eastAsia"/>
                <w:sz w:val="24"/>
              </w:rPr>
            </w:pPr>
            <w:r>
              <w:rPr>
                <w:rFonts w:hint="eastAsia" w:ascii="宋体" w:hAnsi="宋体" w:cs="宋体"/>
                <w:spacing w:val="8"/>
              </w:rPr>
              <w:t>授</w:t>
            </w:r>
            <w:r>
              <w:rPr>
                <w:rFonts w:hint="eastAsia" w:ascii="宋体" w:hAnsi="宋体" w:cs="宋体"/>
                <w:spacing w:val="6"/>
              </w:rPr>
              <w:t>课类型</w:t>
            </w:r>
          </w:p>
        </w:tc>
        <w:tc>
          <w:tcPr>
            <w:tcW w:w="1295" w:type="pct"/>
            <w:noWrap w:val="0"/>
            <w:vAlign w:val="center"/>
          </w:tcPr>
          <w:p>
            <w:pPr>
              <w:jc w:val="left"/>
            </w:pPr>
            <w:r>
              <w:rPr>
                <w:rFonts w:ascii="宋体" w:hAnsi="宋体"/>
              </w:rPr>
              <w:t>理论课</w:t>
            </w:r>
          </w:p>
        </w:tc>
      </w:tr>
      <w:tr w14:paraId="076EB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81" w:hRule="atLeast"/>
        </w:trPr>
        <w:tc>
          <w:tcPr>
            <w:tcW w:w="834" w:type="pct"/>
            <w:noWrap w:val="0"/>
            <w:vAlign w:val="center"/>
          </w:tcPr>
          <w:p w14:paraId="0BC5AD97">
            <w:pPr>
              <w:spacing w:before="156" w:beforeLines="50" w:after="156" w:afterLines="50" w:line="320" w:lineRule="exact"/>
              <w:jc w:val="center"/>
              <w:rPr>
                <w:rFonts w:hint="eastAsia"/>
                <w:sz w:val="24"/>
              </w:rPr>
            </w:pPr>
            <w:r>
              <w:rPr>
                <w:rFonts w:hint="eastAsia" w:ascii="宋体" w:hAnsi="宋体" w:cs="宋体"/>
                <w:spacing w:val="4"/>
              </w:rPr>
              <w:t>教学内容及学情分析</w:t>
            </w:r>
          </w:p>
        </w:tc>
        <w:tc>
          <w:tcPr>
            <w:tcW w:w="4165" w:type="pct"/>
            <w:gridSpan w:val="5"/>
            <w:noWrap w:val="0"/>
            <w:vAlign w:val="center"/>
          </w:tcPr>
          <w:p>
            <w:pPr>
              <w:jc w:val="left"/>
            </w:pPr>
            <w:r>
              <w:t>【教学内容】</w:t>
              <w:br/>
              <w:t>本节课是《电子焊接》课程的基础模块，主题为“电子元器件认识”。教学内容主要包括：1. 常见电子元器件（如电阻、电容、二极管、三极管、集成电路等）的实物识别、图形符号、主要参数及功能作用。2. 元器件在电路板上的常见封装形式（如直插式、贴片式）及引脚识别方法。3. 结合焊接工具（如电烙铁、焊锡丝、助焊剂）的初步介绍，为后续焊接操作建立认知基础。4. 强调元器件识别的准确性对后续焊接质量及电路功能实现的重要性。</w:t>
              <w:br/>
              <w:t>【学情分析】</w:t>
              <w:br/>
              <w:t>授课对象为电气自动化专业二年级学生，已具备一定的电路基础理论知识，但对实际电子元器件的外观、规格、应用场景缺乏直观认识。学生动手兴趣浓厚，但可能对细节观察不够仔细，容易混淆外形相似的元器件（如不同封装的电容、二极管正负极）。学习过程中，可能遇到的困难包括：对元器件参数标识（如色环电阻、电容容量代码）的理解与记忆；对贴片元器件微小尺寸的辨识与操作畏惧心理。需要教师通过实物展示、对比讲解和互动练习来化解难点。</w:t>
            </w:r>
          </w:p>
        </w:tc>
      </w:tr>
      <w:tr w14:paraId="7AA8C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51" w:hRule="atLeast"/>
        </w:trPr>
        <w:tc>
          <w:tcPr>
            <w:tcW w:w="1474" w:type="dxa"/>
            <w:noWrap w:val="0"/>
            <w:vAlign w:val="center"/>
          </w:tcPr>
          <w:p w14:paraId="09F71C7E">
            <w:pPr>
              <w:jc w:val="center"/>
              <w:rPr>
                <w:rFonts w:hint="eastAsia"/>
                <w:sz w:val="24"/>
              </w:rPr>
            </w:pPr>
            <w:r>
              <w:rPr>
                <w:rFonts w:hint="eastAsia" w:ascii="宋体" w:hAnsi="宋体" w:cs="宋体"/>
                <w:spacing w:val="7"/>
              </w:rPr>
              <w:t>教学目</w:t>
            </w:r>
            <w:r>
              <w:rPr>
                <w:rFonts w:hint="eastAsia" w:ascii="宋体" w:hAnsi="宋体" w:cs="宋体"/>
                <w:spacing w:val="6"/>
              </w:rPr>
              <w:t>标</w:t>
            </w:r>
          </w:p>
        </w:tc>
        <w:tc>
          <w:tcPr>
            <w:tcW w:w="7361" w:type="dxa"/>
            <w:gridSpan w:val="5"/>
            <w:noWrap w:val="0"/>
            <w:vAlign w:val="center"/>
          </w:tcPr>
          <w:p>
            <w:pPr>
              <w:jc w:val="left"/>
            </w:pPr>
            <w:r>
              <w:t>1. 知识目标：掌握常见电子元器件（电阻、电容、二极管、三极管等）的图形符号、实物外观、主要参数标识方法及基本功能；理解元器件引脚排列规律及极性判别方法。</w:t>
              <w:br/>
              <w:t>2. 能力目标：能独立、准确地从元器件盒中识别并分类出指定的电子元器件；能根据电路图符号对应找到实物元器件，并初步判断其参数范围。</w:t>
              <w:br/>
              <w:t>3. 素质目标：培养严谨细致、一丝不苟的工匠精神；树立规范操作和安全意识；增强对电子制造技术的兴趣和自主探索意识。</w:t>
            </w:r>
          </w:p>
        </w:tc>
      </w:tr>
      <w:tr w14:paraId="161BF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1474" w:type="dxa"/>
            <w:noWrap w:val="0"/>
            <w:vAlign w:val="center"/>
          </w:tcPr>
          <w:p w14:paraId="56A85BD8">
            <w:pPr>
              <w:jc w:val="center"/>
              <w:rPr>
                <w:rFonts w:hint="eastAsia"/>
                <w:sz w:val="24"/>
              </w:rPr>
            </w:pPr>
            <w:r>
              <w:rPr>
                <w:rFonts w:hint="eastAsia" w:ascii="宋体" w:hAnsi="宋体" w:cs="宋体"/>
                <w:spacing w:val="7"/>
              </w:rPr>
              <w:t>教学重</w:t>
            </w:r>
            <w:r>
              <w:rPr>
                <w:rFonts w:hint="eastAsia" w:ascii="宋体" w:hAnsi="宋体" w:cs="宋体"/>
                <w:spacing w:val="6"/>
              </w:rPr>
              <w:t>点</w:t>
            </w:r>
          </w:p>
        </w:tc>
        <w:tc>
          <w:tcPr>
            <w:tcW w:w="4165" w:type="pct"/>
            <w:gridSpan w:val="5"/>
            <w:noWrap w:val="0"/>
            <w:vAlign w:val="center"/>
          </w:tcPr>
          <w:p>
            <w:pPr>
              <w:jc w:val="left"/>
            </w:pPr>
            <w:r>
              <w:t>1. 重点1：常见电子元器件（电阻、电容、二极管）的实物识别、图形符号与功能对应</w:t>
              <w:br/>
              <w:t>2. 重点2：元器件主要参数（如阻值、容值、耐压）的标识方法与读取</w:t>
              <w:br/>
              <w:t>3. 重点3：有极性元器件（如电解电容、二极管）的极性判别与安装方向规范</w:t>
            </w:r>
          </w:p>
        </w:tc>
      </w:tr>
      <w:tr w14:paraId="3825D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8" w:hRule="atLeast"/>
        </w:trPr>
        <w:tc>
          <w:tcPr>
            <w:tcW w:w="1474" w:type="dxa"/>
            <w:noWrap w:val="0"/>
            <w:vAlign w:val="center"/>
          </w:tcPr>
          <w:p w14:paraId="5A73D64C">
            <w:pPr>
              <w:jc w:val="center"/>
              <w:rPr>
                <w:rFonts w:hint="eastAsia"/>
                <w:sz w:val="24"/>
              </w:rPr>
            </w:pPr>
            <w:r>
              <w:rPr>
                <w:rFonts w:hint="eastAsia" w:ascii="宋体" w:hAnsi="宋体" w:cs="宋体"/>
                <w:spacing w:val="7"/>
              </w:rPr>
              <w:t>教学难</w:t>
            </w:r>
            <w:r>
              <w:rPr>
                <w:rFonts w:hint="eastAsia" w:ascii="宋体" w:hAnsi="宋体" w:cs="宋体"/>
                <w:spacing w:val="6"/>
              </w:rPr>
              <w:t>点</w:t>
            </w:r>
          </w:p>
        </w:tc>
        <w:tc>
          <w:tcPr>
            <w:tcW w:w="4165" w:type="pct"/>
            <w:gridSpan w:val="5"/>
            <w:noWrap w:val="0"/>
            <w:vAlign w:val="center"/>
          </w:tcPr>
          <w:p>
            <w:pPr>
              <w:jc w:val="left"/>
            </w:pPr>
            <w:r>
              <w:t>1. 难点1：色环电阻色标与阻值、精度的快速准确识读</w:t>
              <w:br/>
              <w:t>2. 难点2：外形相似但功能迥异的元器件（如不同封装的二极管、稳压管）的区分</w:t>
            </w:r>
          </w:p>
        </w:tc>
      </w:tr>
      <w:tr w14:paraId="7494D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4" w:hRule="atLeast"/>
        </w:trPr>
        <w:tc>
          <w:tcPr>
            <w:tcW w:w="1474" w:type="dxa"/>
            <w:noWrap w:val="0"/>
            <w:vAlign w:val="center"/>
          </w:tcPr>
          <w:p w14:paraId="0687A3ED">
            <w:pPr>
              <w:jc w:val="center"/>
              <w:rPr>
                <w:sz w:val="24"/>
              </w:rPr>
            </w:pPr>
            <w:r>
              <w:rPr>
                <w:rFonts w:hint="eastAsia" w:ascii="宋体" w:hAnsi="宋体" w:cs="宋体"/>
                <w:spacing w:val="7"/>
              </w:rPr>
              <w:t>教学方法与教学资源</w:t>
            </w:r>
          </w:p>
        </w:tc>
        <w:tc>
          <w:tcPr>
            <w:tcW w:w="4165" w:type="pct"/>
            <w:gridSpan w:val="5"/>
            <w:noWrap w:val="0"/>
            <w:vAlign w:val="center"/>
          </w:tcPr>
          <w:p>
            <w:pPr>
              <w:jc w:val="left"/>
            </w:pPr>
            <w:r>
              <w:t>【教学方法】</w:t>
              <w:br/>
              <w:t>任务驱动法、实物演示法、小组讨论法、对比归纳法</w:t>
              <w:br/>
              <w:t>【教学资源】</w:t>
              <w:br/>
              <w:t>多媒体课件（含元器件图片、符号、参数表）、各类电子元器件实物样品包（每人一套）、放大镜、万用表、焊接工具展示台、元器件识别任务卡</w:t>
            </w:r>
          </w:p>
        </w:tc>
      </w:tr>
      <w:tr w14:paraId="58D96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1" w:hRule="atLeast"/>
        </w:trPr>
        <w:tc>
          <w:tcPr>
            <w:tcW w:w="1474" w:type="dxa"/>
            <w:noWrap w:val="0"/>
            <w:vAlign w:val="center"/>
          </w:tcPr>
          <w:p w14:paraId="01DC87C6">
            <w:pPr>
              <w:jc w:val="center"/>
              <w:rPr>
                <w:rFonts w:hint="eastAsia"/>
                <w:sz w:val="24"/>
              </w:rPr>
            </w:pPr>
            <w:r>
              <w:rPr>
                <w:rFonts w:hint="eastAsia" w:ascii="宋体" w:hAnsi="宋体" w:cs="宋体"/>
                <w:spacing w:val="7"/>
              </w:rPr>
              <w:t>思政元素</w:t>
            </w:r>
          </w:p>
        </w:tc>
        <w:tc>
          <w:tcPr>
            <w:tcW w:w="4165" w:type="pct"/>
            <w:gridSpan w:val="5"/>
            <w:noWrap w:val="0"/>
            <w:vAlign w:val="center"/>
          </w:tcPr>
          <w:p>
            <w:pPr>
              <w:jc w:val="left"/>
            </w:pPr>
            <w:r>
              <w:t>1. 思政点1：通过介绍我国在电子元器件制造领域从跟跑到并跑甚至领跑的发展历程，增强学生的民族自豪感和科技报国信念。</w:t>
              <w:br/>
              <w:t>2. 思政点2：强调“失之毫厘，谬以千里”，元器件识别是电子产品质量的基础，引导学生树立精益求精的工匠精神和严谨负责的职业态度。</w:t>
              <w:br/>
              <w:t>3. 思政点3：在小组识别任务中，强调分工协作与信息共享，培养团队合作意识。</w:t>
              <w:br/>
              <w:t>4. 思政点4：通过讲解元器件参数标识的国际标准与我国标准，引导学生关注行业规范，树立标准意识和质量意识。</w:t>
            </w:r>
          </w:p>
        </w:tc>
      </w:tr>
    </w:tbl>
    <w:p w14:paraId="7BD3B59A">
      <w:pPr>
        <w:rPr>
          <w:rFonts w:hint="eastAsia"/>
          <w:sz w:val="10"/>
        </w:rPr>
      </w:pPr>
    </w:p>
    <w:p w14:paraId="62EA29CF">
      <w:pPr>
        <w:rPr>
          <w:rFonts w:hint="eastAsia"/>
          <w:sz w:val="10"/>
        </w:rPr>
      </w:pPr>
    </w:p>
    <w:p w14:paraId="46A890A1">
      <w:pPr>
        <w:rPr>
          <w:rFonts w:hint="eastAsia"/>
          <w:sz w:val="10"/>
        </w:rPr>
      </w:pPr>
    </w:p>
    <w:p w14:paraId="33FF7DAE">
      <w:pPr>
        <w:rPr>
          <w:rFonts w:hint="eastAsia"/>
          <w:sz w:val="10"/>
        </w:rPr>
      </w:pPr>
    </w:p>
    <w:p w14:paraId="0B813D31">
      <w:pPr>
        <w:rPr>
          <w:rFonts w:hint="eastAsia"/>
          <w:sz w:val="10"/>
        </w:rPr>
      </w:pPr>
    </w:p>
    <w:tbl>
      <w:tblPr>
        <w:tblStyle w:val="4"/>
        <w:tblpPr w:leftFromText="181" w:rightFromText="181" w:vertAnchor="text" w:horzAnchor="page" w:tblpXSpec="center" w:tblpY="120"/>
        <w:tblOverlap w:val="never"/>
        <w:tblW w:w="891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Layout w:type="fixed"/>
        <w:tblCellMar>
          <w:top w:w="0" w:type="dxa"/>
          <w:left w:w="0" w:type="dxa"/>
          <w:bottom w:w="0" w:type="dxa"/>
          <w:right w:w="0" w:type="dxa"/>
        </w:tblCellMar>
      </w:tblPr>
      <w:tblGrid>
        <w:gridCol w:w="1314"/>
        <w:gridCol w:w="4832"/>
        <w:gridCol w:w="1555"/>
        <w:gridCol w:w="1217"/>
      </w:tblGrid>
      <w:tr w14:paraId="789244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457" w:hRule="atLeast"/>
          <w:jc w:val="center"/>
        </w:trPr>
        <w:tc>
          <w:tcPr>
            <w:tcW w:w="8918" w:type="dxa"/>
            <w:gridSpan w:val="4"/>
            <w:tcBorders>
              <w:top w:val="single" w:color="000000" w:sz="2" w:space="0"/>
              <w:bottom w:val="single" w:color="000000" w:sz="2" w:space="0"/>
            </w:tcBorders>
            <w:shd w:val="clear" w:color="auto" w:fill="FFFFFF"/>
            <w:noWrap w:val="0"/>
            <w:vAlign w:val="center"/>
          </w:tcPr>
          <w:p w14:paraId="773C77B7">
            <w:pPr>
              <w:jc w:val="center"/>
              <w:rPr>
                <w:rFonts w:ascii="黑体" w:hAnsi="黑体" w:eastAsia="黑体" w:cs="黑体"/>
                <w:spacing w:val="14"/>
                <w:sz w:val="28"/>
                <w:szCs w:val="28"/>
              </w:rPr>
            </w:pPr>
            <w:bookmarkStart w:id="0" w:name="_GoBack"/>
            <w:r>
              <w:rPr>
                <w:rFonts w:ascii="黑体" w:hAnsi="黑体" w:eastAsia="黑体" w:cs="黑体"/>
                <w:spacing w:val="14"/>
                <w:sz w:val="28"/>
                <w:szCs w:val="28"/>
              </w:rPr>
              <w:t>教</w:t>
            </w:r>
            <w:r>
              <w:rPr>
                <w:rFonts w:ascii="黑体" w:hAnsi="黑体" w:eastAsia="黑体" w:cs="黑体"/>
                <w:spacing w:val="7"/>
                <w:sz w:val="28"/>
                <w:szCs w:val="28"/>
              </w:rPr>
              <w:t xml:space="preserve"> 学 实 施 过 程</w:t>
            </w:r>
            <w:bookmarkEnd w:id="0"/>
          </w:p>
        </w:tc>
      </w:tr>
      <w:tr w14:paraId="050450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450" w:hRule="atLeast"/>
          <w:jc w:val="center"/>
        </w:trPr>
        <w:tc>
          <w:tcPr>
            <w:tcW w:w="1314" w:type="dxa"/>
            <w:tcBorders>
              <w:top w:val="single" w:color="000000" w:sz="2" w:space="0"/>
              <w:bottom w:val="single" w:color="000000" w:sz="2" w:space="0"/>
            </w:tcBorders>
            <w:shd w:val="clear" w:color="auto" w:fill="FFFFFF"/>
            <w:noWrap w:val="0"/>
            <w:vAlign w:val="center"/>
          </w:tcPr>
          <w:p w14:paraId="03289E6A">
            <w:pPr>
              <w:jc w:val="center"/>
              <w:rPr>
                <w:rFonts w:ascii="宋体" w:hAnsi="宋体" w:cs="宋体"/>
              </w:rPr>
            </w:pPr>
            <w:r>
              <w:rPr>
                <w:rFonts w:ascii="宋体" w:hAnsi="宋体" w:cs="宋体"/>
                <w:spacing w:val="9"/>
              </w:rPr>
              <w:t>教</w:t>
            </w:r>
            <w:r>
              <w:rPr>
                <w:rFonts w:ascii="宋体" w:hAnsi="宋体" w:cs="宋体"/>
                <w:spacing w:val="7"/>
              </w:rPr>
              <w:t>学环节</w:t>
            </w:r>
            <w:r>
              <w:rPr>
                <w:rFonts w:hint="eastAsia" w:ascii="宋体" w:hAnsi="宋体" w:cs="宋体"/>
                <w:spacing w:val="7"/>
              </w:rPr>
              <w:t>及时间分配</w:t>
            </w:r>
          </w:p>
        </w:tc>
        <w:tc>
          <w:tcPr>
            <w:tcW w:w="4832" w:type="dxa"/>
            <w:tcBorders>
              <w:top w:val="single" w:color="000000" w:sz="2" w:space="0"/>
              <w:bottom w:val="single" w:color="000000" w:sz="2" w:space="0"/>
            </w:tcBorders>
            <w:shd w:val="clear" w:color="auto" w:fill="FFFFFF"/>
            <w:noWrap w:val="0"/>
            <w:vAlign w:val="center"/>
          </w:tcPr>
          <w:p w14:paraId="6DE1A651">
            <w:pPr>
              <w:jc w:val="center"/>
              <w:rPr>
                <w:rFonts w:ascii="宋体" w:hAnsi="宋体" w:cs="宋体"/>
              </w:rPr>
            </w:pPr>
            <w:r>
              <w:rPr>
                <w:rFonts w:ascii="宋体" w:hAnsi="宋体" w:cs="宋体"/>
                <w:spacing w:val="9"/>
              </w:rPr>
              <w:t>教</w:t>
            </w:r>
            <w:r>
              <w:rPr>
                <w:rFonts w:ascii="宋体" w:hAnsi="宋体" w:cs="宋体"/>
                <w:spacing w:val="7"/>
              </w:rPr>
              <w:t>学内容</w:t>
            </w:r>
          </w:p>
        </w:tc>
        <w:tc>
          <w:tcPr>
            <w:tcW w:w="1555" w:type="dxa"/>
            <w:tcBorders>
              <w:top w:val="single" w:color="000000" w:sz="2" w:space="0"/>
              <w:bottom w:val="single" w:color="000000" w:sz="2" w:space="0"/>
            </w:tcBorders>
            <w:shd w:val="clear" w:color="auto" w:fill="FFFFFF"/>
            <w:noWrap w:val="0"/>
            <w:vAlign w:val="center"/>
          </w:tcPr>
          <w:p w14:paraId="25E73364">
            <w:pPr>
              <w:jc w:val="center"/>
              <w:rPr>
                <w:rFonts w:ascii="宋体" w:hAnsi="宋体" w:cs="宋体"/>
              </w:rPr>
            </w:pPr>
            <w:r>
              <w:rPr>
                <w:rFonts w:ascii="宋体" w:hAnsi="宋体" w:cs="宋体"/>
                <w:spacing w:val="9"/>
              </w:rPr>
              <w:t>教</w:t>
            </w:r>
            <w:r>
              <w:rPr>
                <w:rFonts w:ascii="宋体" w:hAnsi="宋体" w:cs="宋体"/>
                <w:spacing w:val="7"/>
              </w:rPr>
              <w:t>师活动</w:t>
            </w:r>
          </w:p>
        </w:tc>
        <w:tc>
          <w:tcPr>
            <w:tcW w:w="1217" w:type="dxa"/>
            <w:tcBorders>
              <w:top w:val="single" w:color="000000" w:sz="2" w:space="0"/>
              <w:bottom w:val="single" w:color="000000" w:sz="2" w:space="0"/>
            </w:tcBorders>
            <w:shd w:val="clear" w:color="auto" w:fill="FFFFFF"/>
            <w:noWrap w:val="0"/>
            <w:vAlign w:val="center"/>
          </w:tcPr>
          <w:p w14:paraId="44D6E46D">
            <w:pPr>
              <w:jc w:val="center"/>
              <w:rPr>
                <w:rFonts w:ascii="宋体" w:hAnsi="宋体" w:cs="宋体"/>
              </w:rPr>
            </w:pPr>
            <w:r>
              <w:rPr>
                <w:rFonts w:ascii="宋体" w:hAnsi="宋体" w:cs="宋体"/>
                <w:spacing w:val="7"/>
              </w:rPr>
              <w:t>学生活动</w:t>
            </w:r>
          </w:p>
        </w:tc>
      </w:tr>
      <w:tr>
        <w:tc>
          <w:tcPr>
            <w:tcW w:type="dxa" w:w="1314"/>
            <w:vAlign w:val="center"/>
          </w:tcPr>
          <w:p>
            <w:pPr>
              <w:jc w:val="left"/>
            </w:pPr>
            <w:r>
              <w:t>情境导入与任务发布（10min）</w:t>
            </w:r>
          </w:p>
        </w:tc>
        <w:tc>
          <w:tcPr>
            <w:tcW w:type="dxa" w:w="4832"/>
            <w:vAlign w:val="center"/>
          </w:tcPr>
          <w:p>
            <w:pPr>
              <w:jc w:val="left"/>
            </w:pPr>
            <w:r>
              <w:t>展示一块功能正常的电路板和一块因元器件装错而失效的电路板，对比引出元器件正确识别的重要性。发布本节课核心任务：成为一名合格的“元器件检验员”，准确识别并分类给定元器件包中的所有元件。</w:t>
            </w:r>
          </w:p>
        </w:tc>
        <w:tc>
          <w:tcPr>
            <w:tcW w:type="dxa" w:w="1555"/>
            <w:vAlign w:val="center"/>
          </w:tcPr>
          <w:p>
            <w:pPr>
              <w:jc w:val="left"/>
            </w:pPr>
            <w:r>
              <w:t>创设情境，提出问题，展示实物对比，明确任务目标与评价标准。</w:t>
            </w:r>
          </w:p>
        </w:tc>
        <w:tc>
          <w:tcPr>
            <w:tcW w:type="dxa" w:w="1217"/>
            <w:vAlign w:val="center"/>
          </w:tcPr>
          <w:p>
            <w:pPr>
              <w:jc w:val="left"/>
            </w:pPr>
            <w:r>
              <w:t>观察对比，思考元器件识别错误可能导致的后果，明确任务要求。</w:t>
            </w:r>
          </w:p>
        </w:tc>
      </w:tr>
      <w:tr>
        <w:tc>
          <w:tcPr>
            <w:tcW w:type="dxa" w:w="1314"/>
            <w:vAlign w:val="center"/>
          </w:tcPr>
          <w:p>
            <w:pPr>
              <w:jc w:val="left"/>
            </w:pPr>
            <w:r>
              <w:t>新知讲解与实物认知（30min）</w:t>
            </w:r>
          </w:p>
        </w:tc>
        <w:tc>
          <w:tcPr>
            <w:tcW w:type="dxa" w:w="4832"/>
            <w:vAlign w:val="center"/>
          </w:tcPr>
          <w:p>
            <w:pPr>
              <w:jc w:val="left"/>
            </w:pPr>
            <w:r>
              <w:t>结合课件与实物，系统讲解电阻、电容、电感、二极管、三极管等常见元器件的图形符号、实物外观、主要参数标识（直标法、色环法、代码法）。重点演示有极性元器件的极性判别方法。穿插介绍焊接工具（电烙铁、焊台）的基本结构与安全使用须知。</w:t>
            </w:r>
          </w:p>
        </w:tc>
        <w:tc>
          <w:tcPr>
            <w:tcW w:type="dxa" w:w="1555"/>
            <w:vAlign w:val="center"/>
          </w:tcPr>
          <w:p>
            <w:pPr>
              <w:jc w:val="left"/>
            </w:pPr>
            <w:r>
              <w:t>利用多媒体课件讲解理论知识，同步展示实物，进行关键点（如色环读数、极性标记）的示范与强调。巡回指导学生观察手中实物。</w:t>
            </w:r>
          </w:p>
        </w:tc>
        <w:tc>
          <w:tcPr>
            <w:tcW w:type="dxa" w:w="1217"/>
            <w:vAlign w:val="center"/>
          </w:tcPr>
          <w:p>
            <w:pPr>
              <w:jc w:val="left"/>
            </w:pPr>
            <w:r>
              <w:t>听讲、观察、记录要点，对照手中元器件实物进行初步辨认和标记，提出疑问。</w:t>
            </w:r>
          </w:p>
        </w:tc>
      </w:tr>
      <w:tr>
        <w:tc>
          <w:tcPr>
            <w:tcW w:type="dxa" w:w="1314"/>
            <w:vAlign w:val="center"/>
          </w:tcPr>
          <w:p>
            <w:pPr>
              <w:jc w:val="left"/>
            </w:pPr>
            <w:r>
              <w:t>任务实施与小组探究（40min）</w:t>
            </w:r>
          </w:p>
        </w:tc>
        <w:tc>
          <w:tcPr>
            <w:tcW w:type="dxa" w:w="4832"/>
            <w:vAlign w:val="center"/>
          </w:tcPr>
          <w:p>
            <w:pPr>
              <w:jc w:val="left"/>
            </w:pPr>
            <w:r>
              <w:t>学生以小组为单位，根据下发的“元器件识别任务卡”，完成对元器件包内所有元件的识别、分类与参数记录。任务卡包含：找出所有电阻并读出阻值；区分有极性与无极性电容；判别二极管的正负极等具体项目。教师提供万用表等工具辅助验证。</w:t>
            </w:r>
          </w:p>
        </w:tc>
        <w:tc>
          <w:tcPr>
            <w:tcW w:type="dxa" w:w="1555"/>
            <w:vAlign w:val="center"/>
          </w:tcPr>
          <w:p>
            <w:pPr>
              <w:jc w:val="left"/>
            </w:pPr>
            <w:r>
              <w:t>发布任务卡，巡视各小组，进行个别指导，收集共性问题。鼓励学生使用工具验证判断。</w:t>
            </w:r>
          </w:p>
        </w:tc>
        <w:tc>
          <w:tcPr>
            <w:tcW w:type="dxa" w:w="1217"/>
            <w:vAlign w:val="center"/>
          </w:tcPr>
          <w:p>
            <w:pPr>
              <w:jc w:val="left"/>
            </w:pPr>
            <w:r>
              <w:t>小组协作，对照任务卡逐一识别、讨论、记录元器件信息，使用万用表进行简单测量验证（如二极管单向导电性）。</w:t>
            </w:r>
          </w:p>
        </w:tc>
      </w:tr>
      <w:tr>
        <w:tc>
          <w:tcPr>
            <w:tcW w:type="dxa" w:w="1314"/>
            <w:vAlign w:val="center"/>
          </w:tcPr>
          <w:p>
            <w:pPr>
              <w:jc w:val="left"/>
            </w:pPr>
            <w:r>
              <w:t>成果展示与难点解析（15min）</w:t>
            </w:r>
          </w:p>
        </w:tc>
        <w:tc>
          <w:tcPr>
            <w:tcW w:type="dxa" w:w="4832"/>
            <w:vAlign w:val="center"/>
          </w:tcPr>
          <w:p>
            <w:pPr>
              <w:jc w:val="left"/>
            </w:pPr>
            <w:r>
              <w:t>邀请1-2个小组展示其识别成果，重点讲解识别过程和方法。教师针对巡视中发现的普遍难点（如某色环电阻误读、某贴片元件混淆）进行集中解析和示范，巩固正确认知。</w:t>
            </w:r>
          </w:p>
        </w:tc>
        <w:tc>
          <w:tcPr>
            <w:tcW w:type="dxa" w:w="1555"/>
            <w:vAlign w:val="center"/>
          </w:tcPr>
          <w:p>
            <w:pPr>
              <w:jc w:val="left"/>
            </w:pPr>
            <w:r>
              <w:t>组织小组展示，点评并补充，针对共性难点进行精讲和再示范。</w:t>
            </w:r>
          </w:p>
        </w:tc>
        <w:tc>
          <w:tcPr>
            <w:tcW w:type="dxa" w:w="1217"/>
            <w:vAlign w:val="center"/>
          </w:tcPr>
          <w:p>
            <w:pPr>
              <w:jc w:val="left"/>
            </w:pPr>
            <w:r>
              <w:t>小组代表展示与讲解，其他小组聆听、对比、提问。集中解决疑难问题。</w:t>
            </w:r>
          </w:p>
        </w:tc>
      </w:tr>
      <w:tr>
        <w:tc>
          <w:tcPr>
            <w:tcW w:type="dxa" w:w="1314"/>
            <w:vAlign w:val="center"/>
          </w:tcPr>
          <w:p>
            <w:pPr>
              <w:jc w:val="left"/>
            </w:pPr>
            <w:r>
              <w:t>总结评价与布置作业（10min）</w:t>
            </w:r>
          </w:p>
        </w:tc>
        <w:tc>
          <w:tcPr>
            <w:tcW w:type="dxa" w:w="4832"/>
            <w:vAlign w:val="center"/>
          </w:tcPr>
          <w:p>
            <w:pPr>
              <w:jc w:val="left"/>
            </w:pPr>
            <w:r>
              <w:t>教师总结本节课核心知识点与技能要点，强调准确识别元器件对后续焊接乃至整个电子产品制作的基础性作用。结合“工匠精神”，点评学生在任务过程中的表现。布置课外作业。</w:t>
            </w:r>
          </w:p>
        </w:tc>
        <w:tc>
          <w:tcPr>
            <w:tcW w:type="dxa" w:w="1555"/>
            <w:vAlign w:val="center"/>
          </w:tcPr>
          <w:p>
            <w:pPr>
              <w:jc w:val="left"/>
            </w:pPr>
            <w:r>
              <w:t>系统总结，升华思政主题，布置作业。</w:t>
            </w:r>
          </w:p>
        </w:tc>
        <w:tc>
          <w:tcPr>
            <w:tcW w:type="dxa" w:w="1217"/>
            <w:vAlign w:val="center"/>
          </w:tcPr>
          <w:p>
            <w:pPr>
              <w:jc w:val="left"/>
            </w:pPr>
            <w:r>
              <w:t>回顾整理本节课所学，理解元器件识别的意义，记录作业。</w:t>
            </w:r>
          </w:p>
        </w:tc>
      </w:tr>
      <w:tr w14:paraId="665CA7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1206" w:hRule="atLeast"/>
          <w:jc w:val="center"/>
        </w:trPr>
        <w:tc>
          <w:tcPr>
            <w:tcW w:w="1314" w:type="dxa"/>
            <w:tcBorders>
              <w:top w:val="single" w:color="000000" w:sz="2" w:space="0"/>
              <w:bottom w:val="single" w:color="000000" w:sz="2" w:space="0"/>
            </w:tcBorders>
            <w:shd w:val="clear" w:color="auto" w:fill="FFFFFF"/>
            <w:noWrap w:val="0"/>
            <w:vAlign w:val="center"/>
          </w:tcPr>
          <w:p w14:paraId="75C3D506">
            <w:pPr>
              <w:jc w:val="center"/>
              <w:rPr>
                <w:rFonts w:ascii="宋体" w:hAnsi="宋体" w:cs="宋体"/>
                <w:spacing w:val="7"/>
              </w:rPr>
            </w:pPr>
            <w:r>
              <w:rPr>
                <w:rFonts w:hint="eastAsia" w:ascii="宋体" w:hAnsi="宋体" w:cs="宋体"/>
                <w:spacing w:val="7"/>
              </w:rPr>
              <w:t>课外作业</w:t>
            </w:r>
          </w:p>
        </w:tc>
        <w:tc>
          <w:tcPr>
            <w:tcW w:w="7604" w:type="dxa"/>
            <w:gridSpan w:val="3"/>
            <w:tcBorders>
              <w:top w:val="single" w:color="000000" w:sz="2" w:space="0"/>
              <w:bottom w:val="single" w:color="000000" w:sz="2" w:space="0"/>
            </w:tcBorders>
            <w:shd w:val="clear" w:color="auto" w:fill="FFFFFF"/>
            <w:noWrap w:val="0"/>
            <w:vAlign w:val="center"/>
          </w:tcPr>
          <w:p>
            <w:pPr>
              <w:jc w:val="left"/>
            </w:pPr>
            <w:r>
              <w:t>1. 基础题：整理课堂笔记，绘制常见电子元器件的图形符号与实物外形对应表，并标注关键识别特征。</w:t>
              <w:br/>
              <w:t>2. 提升题：在家中或网络上寻找一个废旧电器电路板，尝试识别板上至少5种不同类型的电子元器件，并记录其标识信息。</w:t>
              <w:br/>
              <w:t>3. 预习：预习下一节课“焊接工具与焊接五步法”相关内容，思考如何根据元器件特点选择合适的焊接工具和焊接参数。</w:t>
            </w:r>
          </w:p>
        </w:tc>
      </w:tr>
      <w:tr w14:paraId="010FDB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blCellMar>
            <w:top w:w="0" w:type="dxa"/>
            <w:left w:w="0" w:type="dxa"/>
            <w:bottom w:w="0" w:type="dxa"/>
            <w:right w:w="0" w:type="dxa"/>
          </w:tblCellMar>
        </w:tblPrEx>
        <w:trPr>
          <w:trHeight w:val="896" w:hRule="atLeast"/>
          <w:jc w:val="center"/>
        </w:trPr>
        <w:tc>
          <w:tcPr>
            <w:tcW w:w="1314" w:type="dxa"/>
            <w:tcBorders>
              <w:top w:val="single" w:color="000000" w:sz="2" w:space="0"/>
              <w:bottom w:val="single" w:color="000000" w:sz="2" w:space="0"/>
            </w:tcBorders>
            <w:shd w:val="clear" w:color="auto" w:fill="FFFFFF"/>
            <w:noWrap w:val="0"/>
            <w:vAlign w:val="center"/>
          </w:tcPr>
          <w:p w14:paraId="47451096">
            <w:pPr>
              <w:jc w:val="center"/>
              <w:rPr>
                <w:rFonts w:ascii="宋体" w:hAnsi="宋体" w:cs="宋体"/>
                <w:spacing w:val="7"/>
              </w:rPr>
            </w:pPr>
            <w:r>
              <w:rPr>
                <w:rFonts w:hint="eastAsia" w:ascii="宋体" w:hAnsi="宋体" w:cs="宋体"/>
                <w:spacing w:val="7"/>
              </w:rPr>
              <w:t>教学反思</w:t>
            </w:r>
          </w:p>
        </w:tc>
        <w:tc>
          <w:tcPr>
            <w:tcW w:w="7604" w:type="dxa"/>
            <w:gridSpan w:val="3"/>
            <w:tcBorders>
              <w:top w:val="single" w:color="000000" w:sz="2" w:space="0"/>
              <w:bottom w:val="single" w:color="000000" w:sz="2" w:space="0"/>
            </w:tcBorders>
            <w:shd w:val="clear" w:color="auto" w:fill="FFFFFF"/>
            <w:noWrap w:val="0"/>
            <w:vAlign w:val="center"/>
          </w:tcPr>
          <w:p>
            <w:pPr>
              <w:jc w:val="left"/>
            </w:pPr>
            <w:r/>
          </w:p>
        </w:tc>
      </w:tr>
    </w:tbl>
    <w:p w14:paraId="353579FE">
      <w:pPr>
        <w:jc w:val="left"/>
        <w:rPr>
          <w:rFonts w:hint="eastAsia"/>
          <w:sz w:val="10"/>
        </w:rPr>
      </w:pPr>
    </w:p>
    <w:sectPr>
      <w:pgSz w:w="11907" w:h="16840"/>
      <w:pgMar w:top="1304" w:right="1134" w:bottom="1247" w:left="1701"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altName w:val="仿宋"/>
    <w:panose1 w:val="00000000000000000000"/>
    <w:charset w:val="00"/>
    <w:family w:val="auto"/>
    <w:pitch w:val="default"/>
    <w:sig w:usb0="00000000" w:usb1="00000000" w:usb2="00000000" w:usb3="00000000" w:csb0="00040001"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g1MTM5OWNkZTVjMjY2ZGEyNjhjMmNmNDA4NDBhZjQifQ=="/>
  </w:docVars>
  <w:rsids>
    <w:rsidRoot w:val="00E72E06"/>
    <w:rsid w:val="00074944"/>
    <w:rsid w:val="000A0417"/>
    <w:rsid w:val="000C01FE"/>
    <w:rsid w:val="000D300E"/>
    <w:rsid w:val="000E32B8"/>
    <w:rsid w:val="0011732B"/>
    <w:rsid w:val="001E2870"/>
    <w:rsid w:val="0021194F"/>
    <w:rsid w:val="00211D8D"/>
    <w:rsid w:val="00216FA2"/>
    <w:rsid w:val="002733F5"/>
    <w:rsid w:val="00290225"/>
    <w:rsid w:val="002A474E"/>
    <w:rsid w:val="002E24E0"/>
    <w:rsid w:val="00345C68"/>
    <w:rsid w:val="0034739E"/>
    <w:rsid w:val="0036799A"/>
    <w:rsid w:val="00403D23"/>
    <w:rsid w:val="004041F9"/>
    <w:rsid w:val="004300FA"/>
    <w:rsid w:val="00437223"/>
    <w:rsid w:val="00452746"/>
    <w:rsid w:val="0046593D"/>
    <w:rsid w:val="004667BD"/>
    <w:rsid w:val="004770BF"/>
    <w:rsid w:val="004B4670"/>
    <w:rsid w:val="004C2778"/>
    <w:rsid w:val="0052105E"/>
    <w:rsid w:val="0053081C"/>
    <w:rsid w:val="005A4016"/>
    <w:rsid w:val="005D4583"/>
    <w:rsid w:val="00620F36"/>
    <w:rsid w:val="006264AA"/>
    <w:rsid w:val="00691C48"/>
    <w:rsid w:val="006A4F73"/>
    <w:rsid w:val="006C2A23"/>
    <w:rsid w:val="006D103F"/>
    <w:rsid w:val="006E6C24"/>
    <w:rsid w:val="006E6CC9"/>
    <w:rsid w:val="00736D03"/>
    <w:rsid w:val="00765D99"/>
    <w:rsid w:val="00773524"/>
    <w:rsid w:val="0079385E"/>
    <w:rsid w:val="007A434B"/>
    <w:rsid w:val="007A7E07"/>
    <w:rsid w:val="007C0AB8"/>
    <w:rsid w:val="007C5152"/>
    <w:rsid w:val="007D4165"/>
    <w:rsid w:val="007D4EAF"/>
    <w:rsid w:val="00826708"/>
    <w:rsid w:val="00836708"/>
    <w:rsid w:val="008517D3"/>
    <w:rsid w:val="009002FF"/>
    <w:rsid w:val="00906531"/>
    <w:rsid w:val="00923115"/>
    <w:rsid w:val="00925998"/>
    <w:rsid w:val="00992A1A"/>
    <w:rsid w:val="009C24E8"/>
    <w:rsid w:val="009D6571"/>
    <w:rsid w:val="009E1985"/>
    <w:rsid w:val="00AD7F22"/>
    <w:rsid w:val="00B03980"/>
    <w:rsid w:val="00B26B28"/>
    <w:rsid w:val="00B3110D"/>
    <w:rsid w:val="00B4102A"/>
    <w:rsid w:val="00B654FA"/>
    <w:rsid w:val="00B67989"/>
    <w:rsid w:val="00B7380A"/>
    <w:rsid w:val="00BA13B6"/>
    <w:rsid w:val="00BB320E"/>
    <w:rsid w:val="00BF2593"/>
    <w:rsid w:val="00BF6032"/>
    <w:rsid w:val="00C01AE8"/>
    <w:rsid w:val="00C10250"/>
    <w:rsid w:val="00C14611"/>
    <w:rsid w:val="00C30851"/>
    <w:rsid w:val="00C379CB"/>
    <w:rsid w:val="00C41FF5"/>
    <w:rsid w:val="00C60D77"/>
    <w:rsid w:val="00CE3AA2"/>
    <w:rsid w:val="00CE744B"/>
    <w:rsid w:val="00CF42A8"/>
    <w:rsid w:val="00D5791B"/>
    <w:rsid w:val="00D96390"/>
    <w:rsid w:val="00DF6BD8"/>
    <w:rsid w:val="00E00565"/>
    <w:rsid w:val="00E408DE"/>
    <w:rsid w:val="00E72E06"/>
    <w:rsid w:val="00E73AD6"/>
    <w:rsid w:val="00EA3267"/>
    <w:rsid w:val="00EA66B0"/>
    <w:rsid w:val="00ED45FC"/>
    <w:rsid w:val="00ED7E40"/>
    <w:rsid w:val="00F4521A"/>
    <w:rsid w:val="00FC2260"/>
    <w:rsid w:val="00FE58EE"/>
    <w:rsid w:val="00FF4058"/>
    <w:rsid w:val="10776A03"/>
    <w:rsid w:val="167354E7"/>
    <w:rsid w:val="1F6941A8"/>
    <w:rsid w:val="3B6505B6"/>
    <w:rsid w:val="51EB286F"/>
    <w:rsid w:val="6762319D"/>
    <w:rsid w:val="761A7D0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character" w:default="1" w:styleId="6">
    <w:name w:val="Default Paragraph Font"/>
    <w:semiHidden/>
    <w:uiPriority w:val="0"/>
  </w:style>
  <w:style w:type="table" w:default="1" w:styleId="4">
    <w:name w:val="Normal Table"/>
    <w:semiHidden/>
    <w:uiPriority w:val="0"/>
    <w:tblPr>
      <w:tblStyle w:val="4"/>
      <w:tblCellMar>
        <w:top w:w="0" w:type="dxa"/>
        <w:left w:w="108" w:type="dxa"/>
        <w:bottom w:w="0" w:type="dxa"/>
        <w:right w:w="108" w:type="dxa"/>
      </w:tblCellMar>
    </w:tblPr>
  </w:style>
  <w:style w:type="paragraph" w:styleId="2">
    <w:name w:val="footer"/>
    <w:basedOn w:val="1"/>
    <w:link w:val="7"/>
    <w:uiPriority w:val="0"/>
    <w:pPr>
      <w:tabs>
        <w:tab w:val="center" w:pos="4153"/>
        <w:tab w:val="right" w:pos="8306"/>
      </w:tabs>
      <w:snapToGrid w:val="0"/>
      <w:jc w:val="left"/>
    </w:pPr>
    <w:rPr>
      <w:sz w:val="18"/>
      <w:szCs w:val="18"/>
    </w:rPr>
  </w:style>
  <w:style w:type="paragraph" w:styleId="3">
    <w:name w:val="header"/>
    <w:basedOn w:val="1"/>
    <w:link w:val="8"/>
    <w:uiPriority w:val="0"/>
    <w:pPr>
      <w:pBdr>
        <w:bottom w:val="single" w:color="auto" w:sz="6" w:space="1"/>
      </w:pBdr>
      <w:tabs>
        <w:tab w:val="center" w:pos="4153"/>
        <w:tab w:val="right" w:pos="8306"/>
      </w:tabs>
      <w:snapToGrid w:val="0"/>
      <w:jc w:val="center"/>
    </w:pPr>
    <w:rPr>
      <w:sz w:val="18"/>
      <w:szCs w:val="18"/>
    </w:rPr>
  </w:style>
  <w:style w:type="table" w:styleId="5">
    <w:name w:val="Table Grid"/>
    <w:basedOn w:val="4"/>
    <w:uiPriority w:val="0"/>
    <w:pPr>
      <w:widowControl w:val="0"/>
      <w:jc w:val="both"/>
    </w:pPr>
    <w:tblPr>
      <w:tblStyle w:val="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页脚 字符"/>
    <w:link w:val="2"/>
    <w:uiPriority w:val="0"/>
    <w:rPr>
      <w:kern w:val="2"/>
      <w:sz w:val="18"/>
      <w:szCs w:val="18"/>
    </w:rPr>
  </w:style>
  <w:style w:type="character" w:customStyle="1" w:styleId="8">
    <w:name w:val="页眉 字符"/>
    <w:link w:val="3"/>
    <w:uiPriority w:val="0"/>
    <w:rPr>
      <w:kern w:val="2"/>
      <w:sz w:val="18"/>
      <w:szCs w:val="18"/>
    </w:rPr>
  </w:style>
  <w:style w:type="table" w:customStyle="1" w:styleId="9">
    <w:name w:val="Table Normal"/>
    <w:unhideWhenUsed/>
    <w:qFormat/>
    <w:uiPriority w:val="0"/>
    <w:rPr>
      <w:lang w:val="en-US" w:eastAsia="zh-CN" w:bidi="ar-SA"/>
    </w:rPr>
    <w:tblPr>
      <w:tblStyle w:val="4"/>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2ndSpAcE</Company>
  <Pages>3</Pages>
  <Words>193</Words>
  <Characters>199</Characters>
  <Lines>7</Lines>
  <Paragraphs>1</Paragraphs>
  <TotalTime>21</TotalTime>
  <ScaleCrop>false</ScaleCrop>
  <LinksUpToDate>false</LinksUpToDate>
  <CharactersWithSpaces>400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2025-09-20T04:26:00Z</dcterms:created>
  <dc:creator>Image</dc:creator>
  <cp:lastModifiedBy>徐洁</cp:lastModifiedBy>
  <cp:lastPrinted>2005-06-05T04:53:00Z</cp:lastPrinted>
  <dcterms:modified xsi:type="dcterms:W3CDTF">2026-02-11T16:10:55Z</dcterms:modified>
  <dc:title>附表八</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BF15433B81A6410B8FC440CA569579A8_13</vt:lpwstr>
  </property>
  <property fmtid="{D5CDD505-2E9C-101B-9397-08002B2CF9AE}" pid="4" name="KSOTemplateDocerSaveRecord">
    <vt:lpwstr>eyJoZGlkIjoiOTc3M2Y5NzIzMDFlZjAyY2Q4Njk5ODkyYjFjNzBiNTQiLCJ1c2VySWQiOiIxNjYxNTQwNjczIn0=</vt:lpwstr>
  </property>
</Properties>
</file>