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B3A5C"/>
          <w:sz w:val="96"/>
          <w:szCs w:val="96"/>
        </w:rPr>
        <w:t xml:space="preserve">GCR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0D7377"/>
          <w:sz w:val="40"/>
          <w:szCs w:val="40"/>
        </w:rPr>
        <w:t xml:space="preserve">Gut-Cell Restoration</w:t>
      </w:r>
    </w:p>
    <w:p>
      <w:pPr>
        <w:pBdr>
          <w:bottom w:val="single" w:color="C9A84C" w:sz="12" w:space="4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Next-Generation Detox &amp; Dietary Protocol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Clinical Design Framework  |  Based on ALCAT Innate Immune Profiling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Dr. Marios Anthis D.O. — MediBalans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Version 2.0  |  2026</w:t>
      </w:r>
    </w:p>
    <w:p>
      <w:r>
        <w:br w:type="page"/>
      </w:r>
    </w:p>
    <w:p>
      <w:pPr>
        <w:pStyle w:val="Heading1"/>
        <w:pBdr>
          <w:bottom w:val="single" w:color="0D737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 GCR Philosophy — The Foundation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GCR (Gut-Cell Restoration) framework is a precision-medicine approach to chronic innate immune dysregulation. It does not suppress symptoms — it removes the antigenic load driving them. The ALCAT test is the diagnostic engine: by measuring leukocyte morphological changes upon food antigen exposure, it identifies which dietary antigens are perpetuating a state of chronic low-grade inflammation.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1.1  Why Innate Immunity, Not IgE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Conventional allergy testing (IgE-RAST/skin prick) captures only the adaptive, immediate hypersensitivity arm. The vast majority of food-driven inflammation operates through the innate immune system — neutrophils, monocytes, and natural killer cells reacting to antigenic stimuli in a delayed, non-IgE fashion. This is the realm the ALCAT test maps, and the terrain the GCR protocol targets.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1.2  The Four Pillars of GCR</w:t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1. Antigen Removal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Eliminate all reactive foods (RED/ORANGE/YELLOW as indicated) for the protocol duration, removing the primary drivers of innate immune activation.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2. Gut Mucosal Healing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Dairy-free, yeast-free, low-osmotic diet reduces intestinal permeability. Healing the gut lining reduces translocation of antigens and LPS into systemic circulation.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3. Biological Rhythm Feeding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Synchronising meal timing with circadian biology (Toxin Excretion Cycle 06:00–12:00, Nutrition Cycle 12:00–21:00) optimises hepatic phase-I/II detoxification and mitochondrial efficiency.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4. Cellular Rotation</w:t>
            </w:r>
          </w:p>
        </w:tc>
        <w:tc>
          <w:tcPr>
            <w:tcW w:type="dxa" w:w="7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Post-detox, a 4-day rotation diet prevents re-sensitisation by avoiding repetitive antigen exposure. Each food family appears no more than once per 4-day window.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1.3  What Has Been Observed Across Patients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Across the patient cohort analysed (Agneta, Ann-Christine, Annika, Banu, Camilla, Catarina, Elisabeth, Emel, Fanny, André, Bitten, Claudia, Daniel, Åke, Eugene and others), several patterns emerged: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Gluten/gliadin reactivity appeared frequently across patients at moderate-to-severe levels, indicating widespread intestinal inflammation.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Candida albicans co-reactivity was common, correlating with sugar and yeast sensitivity and the clinical need for extended yeast-exclusion periods (120–180 days).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Dairy (casein/whey) reactions were near-universal, justifying the universal dairy-free approach.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Nightshade vegetables (tomato, aubergine, peppers) featured heavily in yellow-mild categories — warranting rotation rather than elimination.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Common culprits in the RED/ORANGE tier: leek/onion family, gluten grains, certain fish (tilapia, swordfish, sardine), coconut, paprika.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Individual variation is high — the ALCAT result is the irreplaceable foundation for personalisation.</w:t>
      </w:r>
    </w:p>
    <w:p>
      <w:r>
        <w:br w:type="page"/>
      </w:r>
    </w:p>
    <w:p>
      <w:pPr>
        <w:pStyle w:val="Heading1"/>
        <w:pBdr>
          <w:bottom w:val="single" w:color="0D737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 Reading and Applying ALCAT Results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ALCAT report classifies food antigens into four tiers based on leukocyte morphological reactivity. These tiers directly map to exclusion strategy in the GCR protocol.</w:t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000"/>
        <w:gridCol w:w="494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Colour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Exclusion</w:t>
            </w:r>
          </w:p>
        </w:tc>
        <w:tc>
          <w:tcPr>
            <w:tcW w:type="dxa" w:w="4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Clinical Rationale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months strict</w:t>
            </w:r>
          </w:p>
        </w:tc>
        <w:tc>
          <w:tcPr>
            <w:tcW w:type="dxa" w:w="4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Highest leukocyte reactivity. Complete removal essential to allow immune downregulation.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ORANGE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months strict</w:t>
            </w:r>
          </w:p>
        </w:tc>
        <w:tc>
          <w:tcPr>
            <w:tcW w:type="dxa" w:w="4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Significant reactivity. Strict elimination required before rotation consideration.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C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YELLOW*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C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Rotate (4-day) or 3 months excl.</w:t>
            </w:r>
          </w:p>
        </w:tc>
        <w:tc>
          <w:tcPr>
            <w:tcW w:type="dxa" w:w="4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Mild reactivity. Rotation protocol may suffice unless RED/ORANGE list is extensive.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Freely rotate</w:t>
            </w:r>
          </w:p>
        </w:tc>
        <w:tc>
          <w:tcPr>
            <w:tcW w:type="dxa" w:w="4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cellular immune response detected. Form the basis of the 21-day detox and rotation diet.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2.1  Special Panels — Blue Box Markers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Three cross-reactive panels carry particular clinical significance and must always be checked: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Gluten/Gliadin: Positive result mandates removal of all gluten-containing grains (wheat, rye, barley, spelt, malt, oats). Recommend glutenfree crispbreads (Le Pain des Fleurs buckwheat or quinoa). Duration: minimum 6 months.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Candida albicans: Positive result expands the yeast/sugar exclusion phase to 120–180 days and requires avoidance of fermented foods, vinegar, mushrooms, beer, wine, grapes, sugar, and baking powder. Consider herbal antifungal support (oregano oil, caprylic acid, berberine).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Casein/Whey: Any reactivity confirms full 21-day minimum dairy exclusion, extended to 180 days in Candida-positive patients. Includes all mammalian milks (cow, sheep, goat).</w:t>
      </w:r>
    </w:p>
    <w:p>
      <w:r>
        <w:br w:type="page"/>
      </w:r>
    </w:p>
    <w:p>
      <w:pPr>
        <w:pStyle w:val="Heading1"/>
        <w:pBdr>
          <w:bottom w:val="single" w:color="0D737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 The 21-Day Next-Generation Detox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current 21-day protocol is a strong clinical tool. The next-generation version preserves its core biological logic while adding precision personalisation, structured phasing, microbiome support, and clearer supplementation guidance.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3.1  Biological Timing Architecture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two-cycle model is clinically sound and should be preserved and reinforced:</w:t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14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Cycle</w:t>
            </w:r>
          </w:p>
        </w:tc>
        <w:tc>
          <w:tcPr>
            <w:tcW w:type="dxa" w:w="4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05:30 – 06:00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Wake &amp; first light</w:t>
            </w:r>
          </w:p>
        </w:tc>
        <w:tc>
          <w:tcPr>
            <w:tcW w:type="dxa" w:w="4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Cortisol peak, begin hydration — 500ml warm water + lemon or herbal infusion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06:00 – 12:00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Toxin Excretion Cycle</w:t>
            </w:r>
          </w:p>
        </w:tc>
        <w:tc>
          <w:tcPr>
            <w:tcW w:type="dxa" w:w="4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Liver peak detox phase. Fruit, juice, minimal fat — support Phase I/II hepatic enzymes. No heavy protein.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12:00 – 13:00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Transition Meal (Lunch)</w:t>
            </w:r>
          </w:p>
        </w:tc>
        <w:tc>
          <w:tcPr>
            <w:tcW w:type="dxa" w:w="4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First main meal. Anti-inflammatory vegetables + complex carbohydrate or protein per weekly rotation.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15:00 – 15:30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Mid-Afternoon Snack</w:t>
            </w:r>
          </w:p>
        </w:tc>
        <w:tc>
          <w:tcPr>
            <w:tcW w:type="dxa" w:w="4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Vegetables or fruits from green list. Maintain 3-hour meal rhythm.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18:00 – 19:00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Biological Nutrition Cycle (Dinner)</w:t>
            </w:r>
          </w:p>
        </w:tc>
        <w:tc>
          <w:tcPr>
            <w:tcW w:type="dxa" w:w="4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Mirror of lunch. Identical macronutrient structure to lunch.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20:30 – 21:00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Evening Snack</w:t>
            </w:r>
          </w:p>
        </w:tc>
        <w:tc>
          <w:tcPr>
            <w:tcW w:type="dxa" w:w="4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Light fruit or vegetables from green list only. Nothing after 21:30.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3-hour interval feeding rule is non-negotiable: it maintains stable glycaemia, prevents cortisol spikes, and avoids the fasting-induced upregulation of inflammatory cytokines. Patients must be counselled that skipping meals defeats the protocol.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3.2  Weekly Macronutrient Rotation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existing 7-day macronutrient rotation is well-designed. The next-generation version adds explicit food-family separation to prevent cross-reactive sensitisation:</w:t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000"/>
        <w:gridCol w:w="494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Starch</w:t>
            </w:r>
          </w:p>
        </w:tc>
        <w:tc>
          <w:tcPr>
            <w:tcW w:type="dxa" w:w="4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Guidance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Monday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Grains / Starch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Rice or buckwheat</w:t>
            </w:r>
          </w:p>
        </w:tc>
        <w:tc>
          <w:tcPr>
            <w:tcW w:type="dxa" w:w="4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Baked/steamed/grilled vegetables + fresh salad + GF pasta or rice. Use olive oil only.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Tuesday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Soup Day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Crispbread</w:t>
            </w:r>
          </w:p>
        </w:tc>
        <w:tc>
          <w:tcPr>
            <w:tcW w:type="dxa" w:w="4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Vegetable or fish broth soup (no dairy, no potato unless non-reactive). Knäckebröd. No vinegar.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Wednesday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Legumes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Legume of choice</w:t>
            </w:r>
          </w:p>
        </w:tc>
        <w:tc>
          <w:tcPr>
            <w:tcW w:type="dxa" w:w="4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Fresh salad + legumes (lentil, chickpea, white bean — from green list). Crispbread. High fibre day.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Thursday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White Protein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 required</w:t>
            </w:r>
          </w:p>
        </w:tc>
        <w:tc>
          <w:tcPr>
            <w:tcW w:type="dxa" w:w="4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Vegetables + salad + egg / chicken / turkey / duck. Avoid fatty preparations. Baked or steamed.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Friday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Vegetarian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 required</w:t>
            </w:r>
          </w:p>
        </w:tc>
        <w:tc>
          <w:tcPr>
            <w:tcW w:type="dxa" w:w="4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Vegetable stew (ladera style — olive oil based). Highest phytonutrient day. Maximise variety.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Saturday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Fish / Seafood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 required</w:t>
            </w:r>
          </w:p>
        </w:tc>
        <w:tc>
          <w:tcPr>
            <w:tcW w:type="dxa" w:w="4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Baked/grilled fish or seafood from green list. Avoid reactive species. Focus on omega-3 rich options.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Sunday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 Meat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 required</w:t>
            </w:r>
          </w:p>
        </w:tc>
        <w:tc>
          <w:tcPr>
            <w:tcW w:type="dxa" w:w="4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Beef, venison, or pork (if green-listed). Vegetables + salad. 1 red meat meal maximum.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3.3  Universal Exclusions During 21 Days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are excluded for ALL patients regardless of ALCAT results: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dairy products (cow, goat, sheep milk, cheese, yoghurt, butter, cream)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yeast sources (baker's yeast, brewer's yeast, wine, beer, vinegar, mushrooms, baking powder)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Added sugar, fructose syrup, refined carbohydrates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grapes and grape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Any food in the patient's RED or ORANGE tier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3.4  Extended Exclusion — Candida Protocol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Candida-positive patients, the following are excluded for 120–180 days (as determined by clinical severity):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the universal 21-day exclusions, maintained beyond day 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Fermented foods (kimchi, sauerkraut, miso, kombucha, vinegar, pickles)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Refined flours and starchy processed foods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alcohol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Mushrooms of all varieties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Dried and sulphited fruits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Alternative sweeteners permitted in moderation for Candida patients: raw honey (Manuka preferred), carob, coconut sugar, maple syrup — from green list only.</w:t>
      </w:r>
    </w:p>
    <w:p>
      <w:r>
        <w:br w:type="page"/>
      </w:r>
    </w:p>
    <w:p>
      <w:pPr>
        <w:pStyle w:val="Heading1"/>
        <w:pBdr>
          <w:bottom w:val="single" w:color="0D737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 Next-Generation Personalisation Engine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evolution from the current protocol to the next generation lies in the depth of personalisation. The ALCAT result is the raw data; the personalisation engine transforms it into a precise, liveable meal plan.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4.1  Building the Patient's Green List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each patient: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Extract all GREEN-tier (no reaction) foods from the ALCAT report.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YELLOW-tier foods: include in rotation (max 1 day per 4-day window) OR exclude for 3 months if RED/ORANGE list is extensive.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Cross-check Candida panel — if positive, remove all yeast/sugar items even if GREEN-listed.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Cross-check Gluten/Casein panels — remove all related grains/dairy regardless of individual food colour.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resulting personalised green list becomes the exclusive food universe for the 21-day detox.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4.2  Starch / Crispbread Personalisation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is an area where the protocol can be significantly upgraded. Current plans specify knäckebröd (Wasa) or corn/rice cakes. The next generation matches the crispbread to the patient's specific grain reactivity: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Gluten-reactive patients: Le Pain des Fleurs Buckwheat or Quinoa crispbread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Corn-reactive patients: Avoid corn cakes; use rice cakes or quinoa crackers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Rice-reactive patients: Buckwheat or amaranth-based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Multi-grain reactive patients: Plain oat cakes (if oat is green) or plain potato cakes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Nut butter pairing (morning): Match to green list — pecan butter, almond butter, hazelnut butter, or tahini (if sesame is green)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4.3  Breakfast Upgrade — Morning Cycle Optimisation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morning toxin-excretion window is best served by high-antioxidant, low-antigen foods that support hepatic Phase I detoxification. The next-generation breakfast protocol: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06:00 – Freshly pressed juice or fruit salad from green list. Recommended additions: pomegranate (if green), beetroot juice, dark berry blend.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06:00 – 1 crispbread + 1 tsp Manuka honey + 1 tsp personalised nut butter (matched to green list). Manuka honey adds antimicrobial methylglyoxal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09:00/10:00 – Fresh vegetables or fruits from green list. Transition from sweet to savoury as lunch approaches.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Key upgrade: replace standard honey with Manuka UMF 10+ where Candida is present for additional antifungal benefit. Replace tahini with pecan or almond butter where sesame is reactive.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4.4  Oil, Fat, and Cooking Medium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Fat quality is critical to membrane integrity and prostaglandin balance in the inflamed patient. Protocol specification: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Primary cooking fat: Extra virgin olive oil (1 tbsp per vegetable portion)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High-heat cooking: Refined coconut oil (tallow in patients where coconut is reactive)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Salad dressing: 1 tbsp EVOO + fresh lemon juice + sea salt + permitted herbs. NO vinegar for duration of yeast exclusion.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Celtic sea salt or Himalayan salt: preferred over iodised table salt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Avoid: canola oil, sunflower oil, seed oils (pro-inflammatory omega-6 dominance)</w:t>
      </w:r>
    </w:p>
    <w:p>
      <w:r>
        <w:br w:type="page"/>
      </w:r>
    </w:p>
    <w:p>
      <w:pPr>
        <w:pStyle w:val="Heading1"/>
        <w:pBdr>
          <w:bottom w:val="single" w:color="0D737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 Nutraceutical &amp; Supplementation Framework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Supplementation in the GCR protocol serves three functions: accelerating hepatic detoxification, restoring gut mucosal integrity, and modulating innate immune hyperreactivity. Specific prescriptions are patient-dependent; the following represent the core matrix.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5.1  Phase 1 — Detox Support (Days 1–21)</w:t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74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Supplement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 / Timing</w:t>
            </w:r>
          </w:p>
        </w:tc>
        <w:tc>
          <w:tcPr>
            <w:tcW w:type="dxa" w:w="4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N-Acetyl Cysteine (NAC)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600mg, morning</w:t>
            </w:r>
          </w:p>
        </w:tc>
        <w:tc>
          <w:tcPr>
            <w:tcW w:type="dxa" w:w="4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Glutathione precursor, Phase II hepatic conjugation, mucolytic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Magnesium Glycinate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300–400mg, evening</w:t>
            </w:r>
          </w:p>
        </w:tc>
        <w:tc>
          <w:tcPr>
            <w:tcW w:type="dxa" w:w="4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Cofactor for 300+ enzymatic reactions; reduces innate immune activation; improves sleep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Vitamin C (buffered)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1000mg, with meals</w:t>
            </w:r>
          </w:p>
        </w:tc>
        <w:tc>
          <w:tcPr>
            <w:tcW w:type="dxa" w:w="4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Antioxidant, Phase I support, collagen synthesis for gut repair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Zinc Picolinate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25mg, with food</w:t>
            </w:r>
          </w:p>
        </w:tc>
        <w:tc>
          <w:tcPr>
            <w:tcW w:type="dxa" w:w="4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Innate immune modulator, intestinal tight junction integrity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Milk Thistle (Silymarin 80%)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150mg 3x/day</w:t>
            </w:r>
          </w:p>
        </w:tc>
        <w:tc>
          <w:tcPr>
            <w:tcW w:type="dxa" w:w="4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Hepatoprotective, inhibits NF-kB, protects hepatocytes during toxin mobilisation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Vitamin D3+K2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4000 IU D3 + 100mcg K2, morning with fat</w:t>
            </w:r>
          </w:p>
        </w:tc>
        <w:tc>
          <w:tcPr>
            <w:tcW w:type="dxa" w:w="4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Innate immune regulation, VDR-mediated anti-inflammatory gene expression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L-Glutamine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5g powder, morning fasted</w:t>
            </w:r>
          </w:p>
        </w:tc>
        <w:tc>
          <w:tcPr>
            <w:tcW w:type="dxa" w:w="4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fuel for enterocytes; restores tight junctions; reduces gut permeability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5.2  Phase 2 — Microbiome Restoration (Days 14–42)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Probiotic introduction should begin no earlier than day 14 to allow the initial antigen-free environment to establish itself before introducing new microbial antigens.</w:t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74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Supplement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 / Timing</w:t>
            </w:r>
          </w:p>
        </w:tc>
        <w:tc>
          <w:tcPr>
            <w:tcW w:type="dxa" w:w="4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Multi-strain Probiotic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 billion CFU, morning fasted</w:t>
            </w:r>
          </w:p>
        </w:tc>
        <w:tc>
          <w:tcPr>
            <w:tcW w:type="dxa" w:w="4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Lactobacillus, Bifidobacterium, Streptococcus thermophilus — restore commensal diversity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Saccharomyces boulardii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billion CFU, 2x/day (Candida-positive only)</w:t>
            </w:r>
          </w:p>
        </w:tc>
        <w:tc>
          <w:tcPr>
            <w:tcW w:type="dxa" w:w="4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Competitive exclusion of Candida; normalises mucosal IgA; reduces gut permeability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Prebiotic Fibre (Inulin/FOS)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5–10g/day via food or supplement</w:t>
            </w:r>
          </w:p>
        </w:tc>
        <w:tc>
          <w:tcPr>
            <w:tcW w:type="dxa" w:w="4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Feed commensal bacteria; increase SCFA production; reduce intestinal pH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Omega-3 (EPA+DHA)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2g EPA+DHA/day with food</w:t>
            </w:r>
          </w:p>
        </w:tc>
        <w:tc>
          <w:tcPr>
            <w:tcW w:type="dxa" w:w="4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Resolvin/protectin synthesis; inhibit COX-2 and 5-LOX inflammatory cascades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5.3  Optional Targeted Additions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Quercetin 500mg 2x/day — mast cell stabiliser, NF-kB inhibitor, beneficial in high-histamine patients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Berberine 500mg 3x/day — potent antifungal, antimicrobial, insulin sensitiser (ideal for Candida + metabolic patients)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Butyrate (tributyrin) 600mg 2x/day — direct colonocyte fuel; tight junction repair; epigenetic anti-inflammatory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Chicory root coffee (Chikko) — prebiotic inulin, liver support, acceptable coffee substitute during detox</w:t>
      </w:r>
    </w:p>
    <w:p>
      <w:r>
        <w:br w:type="page"/>
      </w:r>
    </w:p>
    <w:p>
      <w:pPr>
        <w:pStyle w:val="Heading1"/>
        <w:pBdr>
          <w:bottom w:val="single" w:color="0D737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 28-Day Protocol Structure — Next Generation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upgraded protocol extends the original 21 days to 28 days, allowing a structured transition phase and reducing the risk of symptom relapse upon food reintroduction.</w:t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946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W w:type="dxa" w:w="5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 &amp; Key Rules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PHASE 0
Preparation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Days -7 to 0</w:t>
            </w:r>
          </w:p>
        </w:tc>
        <w:tc>
          <w:tcPr>
            <w:tcW w:type="dxa" w:w="5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Receive and study ALCAT results. Prepare kitchen (remove reactive foods). Stock green-list pantry. Begin elimination of major reactive foods before formal start.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PHASE 1
Deep Detox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Days 1–14</w:t>
            </w:r>
          </w:p>
        </w:tc>
        <w:tc>
          <w:tcPr>
            <w:tcW w:type="dxa" w:w="5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Strictest phase. Full universal exclusions active. No reactive foods. No dairy, yeast, vinegar, sugar. Circadian timing strictly enforced. Supplements Phase 1 begun.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PHASE 2
Consolidation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Days 15–21</w:t>
            </w:r>
          </w:p>
        </w:tc>
        <w:tc>
          <w:tcPr>
            <w:tcW w:type="dxa" w:w="5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Continue exclusions. Introduce probiotics (day 14). Patient should begin noticing symptom improvement. Monitor energy, bowel habits, skin clarity. Adjust portions if needed.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PHASE 3
Transition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Days 22–28</w:t>
            </w:r>
          </w:p>
        </w:tc>
        <w:tc>
          <w:tcPr>
            <w:tcW w:type="dxa" w:w="5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Begin testing YELLOW-tier foods one at a time (one new food every 2 days). Monitor for reaction (bloating, fatigue, skin changes, mood). Document all responses.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POST-PROTOCOL
Rotation Diet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Day 29+</w:t>
            </w:r>
          </w:p>
        </w:tc>
        <w:tc>
          <w:tcPr>
            <w:tcW w:type="dxa" w:w="5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4-day rotation from ALCAT personalised plan. GREEN foods freely rotated. YELLOW foods on 4-day window. RED/ORANGE remain excluded per ALCAT recommendation duration.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6.1  Patient Daily Meal Template (Personalised)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template is completed per-patient using their green list:</w:t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46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7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Meal / Action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05:30</w:t>
            </w:r>
          </w:p>
        </w:tc>
        <w:tc>
          <w:tcPr>
            <w:tcW w:type="dxa" w:w="7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500ml warm water + fresh lemon or herbal infusion (no caffeine for first 7 days)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06:00–07:00</w:t>
            </w:r>
          </w:p>
        </w:tc>
        <w:tc>
          <w:tcPr>
            <w:tcW w:type="dxa" w:w="7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[BREAKFAST] Freshly pressed juice or fruit salad from GREEN list + 1 crispbread + 1 tsp Manuka honey + 1 tsp [nut butter — personalised]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09:00–10:00</w:t>
            </w:r>
          </w:p>
        </w:tc>
        <w:tc>
          <w:tcPr>
            <w:tcW w:type="dxa" w:w="7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[MID-MORNING] Fresh fruits or raw vegetables from GREEN list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12:00–13:00</w:t>
            </w:r>
          </w:p>
        </w:tc>
        <w:tc>
          <w:tcPr>
            <w:tcW w:type="dxa" w:w="7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[LUNCH] Vegetables (baked/steamed/grilled) + fresh salad + [weekly protein/carb rotation — see Section 3.2]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15:00</w:t>
            </w:r>
          </w:p>
        </w:tc>
        <w:tc>
          <w:tcPr>
            <w:tcW w:type="dxa" w:w="7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[AFTERNOON SNACK] Vegetables or fruits from GREEN list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18:00–19:00</w:t>
            </w:r>
          </w:p>
        </w:tc>
        <w:tc>
          <w:tcPr>
            <w:tcW w:type="dxa" w:w="7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[DINNER] Same structure as lunch (same weekly day focus)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20:30–21:00</w:t>
            </w:r>
          </w:p>
        </w:tc>
        <w:tc>
          <w:tcPr>
            <w:tcW w:type="dxa" w:w="7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[EVENING SNACK] Light vegetables or allowed fruits. NOTHING AFTER 21:30.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All meals are prepared fresh. No processed, packaged, or pre-prepared foods. Cooking methods: baked, boiled, grilled, steamed, stir-fried in olive oil. No frying in seed oils.</w:t>
      </w:r>
    </w:p>
    <w:p>
      <w:r>
        <w:br w:type="page"/>
      </w:r>
    </w:p>
    <w:p>
      <w:pPr>
        <w:pStyle w:val="Heading1"/>
        <w:pBdr>
          <w:bottom w:val="single" w:color="0D737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 Hydration &amp; Beverage Protocol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Hydration is a primary detoxification vector. The kidneys eliminate water-soluble toxins mobilised during the protocol. Target: 10–12 glasses (2.5–3.0 litres) per day.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7.1  Permitted Beverages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Still or sparkling water (no added flavours or sweeteners)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Herbal teas — permitted varieties: chamomile, peppermint, rooibos, ginger, licorice root (if green), nettle, dandelion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Freshly pressed vegetable or fruit juices — from green list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Chicory root coffee (Chikko) — excellent prebiotic and liver-support substitute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Green tea — permitted from day 7 onwards if not reactive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Coconut water — if coconut is green-listed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7.2  Prohibited Beverages — All 21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alcohol (wine, beer, spirits, cider)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Coffee (conventional) — remove for first 14 days minimum; reintroduce only if not reactive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fizzy soft drinks, energy drinks, and commercial juices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Black tea (if reactive on ALCAT)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Fermented kombucha (yeast exclusion period)</w:t>
      </w:r>
    </w:p>
    <w:p>
      <w:r>
        <w:br w:type="page"/>
      </w:r>
    </w:p>
    <w:p>
      <w:pPr>
        <w:pStyle w:val="Heading1"/>
        <w:pBdr>
          <w:bottom w:val="single" w:color="0D737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 Clinical Monitoring Framework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Patient monitoring during the protocol is essential for both safety and outcome optimisation. The next-generation protocol formalises the review cadence.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8.1  Recommended Review Schedule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946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Touchpoint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5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Onboarding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Day -7</w:t>
            </w:r>
          </w:p>
        </w:tc>
        <w:tc>
          <w:tcPr>
            <w:tcW w:type="dxa" w:w="5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case history, ALCAT results review, build personalised green list, supplement prescription, set patient expectations and symptom diary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Check-in 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Day 3–5</w:t>
            </w:r>
          </w:p>
        </w:tc>
        <w:tc>
          <w:tcPr>
            <w:tcW w:type="dxa" w:w="5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Phone/message check. Address detox reactions (headache, fatigue, skin flare). Confirm adherence. Reinforce 3-hour meal rule.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Check-in 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Day 7</w:t>
            </w:r>
          </w:p>
        </w:tc>
        <w:tc>
          <w:tcPr>
            <w:tcW w:type="dxa" w:w="5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Assess initial response — energy, bloating, bowel frequency. Adjust if significant distress. Note any unexpected reactions.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Mid-Review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Day 14</w:t>
            </w:r>
          </w:p>
        </w:tc>
        <w:tc>
          <w:tcPr>
            <w:tcW w:type="dxa" w:w="5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Clinical assessment. Introduce probiotics. Review supplement tolerance. Begin transition planning for Phase 3.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Completion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Day 21–28</w:t>
            </w:r>
          </w:p>
        </w:tc>
        <w:tc>
          <w:tcPr>
            <w:tcW w:type="dxa" w:w="5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outcome assessment. Begin structured reintroduction if Phase 3 applicable. Establish long-term rotation diet plan.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Long-term Follow-up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months</w:t>
            </w:r>
          </w:p>
        </w:tc>
        <w:tc>
          <w:tcPr>
            <w:tcW w:type="dxa" w:w="5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Assess sustained benefit. Consider repeat ALCAT. Evaluate readiness to rotate previously excluded foods (ORANGE tier).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8.2  Symptom Diary — Key Domains to Track Daily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Energy level (1–10)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Digestive comfort — bloating, gas, bowel regularity, urgency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Skin — clarity, eczema, redness, urticaria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Cognitive clarity — brain fog, concentration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Mood and sleep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Musculoskeletal — joint pain, stiffness, inflammation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Any unexpected food reactions during YELLOW reintroduction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8.3  Expected Detox Reactions (Normal)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Patients should be pre-counselled about expected detox symptoms in the first 3–7 days, which reflect the mobilisation of toxins and withdrawal from reactive foods: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Headache and fatigue — most common; improve by day 4–5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Temporary skin flare — particularly in eczema or acne patients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Bowel changes — loose stools or temporary constipation during gut transition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Mood lability — particularly in patients with sugar or caffeine dependence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These are not signs of protocol failure. They indicate a biological response. Increase water intake and advise rest. If symptoms are severe or persist beyond day 7, clinical review is warranted.</w:t>
      </w:r>
    </w:p>
    <w:p>
      <w:r>
        <w:br w:type="page"/>
      </w:r>
    </w:p>
    <w:p>
      <w:pPr>
        <w:pStyle w:val="Heading1"/>
        <w:pBdr>
          <w:bottom w:val="single" w:color="0D737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 Patient Communication &amp; Instruction Templates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9.1  The 10 Rules — Patient-Facing Summary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These ten rules are provided to every patient at protocol start: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Eat every 3 hours. Do not skip meals. Skipping meals triggers cortisol and destroys the protocol.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Nothing to eat after 21:30. Your gut needs rest; your liver works the night shift.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10–12 glasses of water daily. Non-negotiable. Toxins need a vehicle out of the body.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Only green-list foods. If it is not on your personal green list, it does not enter your body.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vinegar for the full duration of your yeast exclusion period.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dairy. Not even a little. Casein is an inflammatory antigen even in small amounts.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yeast. Read all labels. Baker's yeast, brewer's yeast, vinegar, mushrooms, and marmite are excluded.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Cook fresh. No processed or packaged food. The protocol cannot function with hidden additives.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olive oil as your primary fat. One tablespoon per vegetable portion. No seed oils.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Keep your symptom diary. It is your feedback system and your evidence of progress.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9.2  Notes for Restaurant Eating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During the detox period, restaurant meals are possible but require vigilance: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Order grilled or baked fish or chicken with steamed vegetables and salad.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Ask for dressings on the side; use only olive oil and lemon.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Avoid all sauces, gravies, marinades — these contain hidden dairy, yeast, and reactive ingredients.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Avoid bread baskets, crackers, and any offered dairy.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Japanese restaurants (sashimi + steamed vegetables) and Mediterranean restaurants are the safest options.</w:t>
      </w:r>
    </w:p>
    <w:p>
      <w:r>
        <w:br w:type="page"/>
      </w:r>
    </w:p>
    <w:p>
      <w:pPr>
        <w:pStyle w:val="Heading1"/>
        <w:pBdr>
          <w:bottom w:val="single" w:color="0D737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 Post-Protocol: The 4-Day Rotation Diet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rotation diet is not a temporary fix — it is the long-term dietary architecture that prevents re-sensitisation. By cycling through food families on a 4-day rotation, the immune system is never repeatedly challenged by the same antigen within a critical sensitisation window.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10.1  Rotation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food family appears no more than once every 4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prevents accumulation of immune challenge from repeatedly consumed antigens.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ALCAT-generated personalised rotation plan is the gold standard template.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GREEN foods are rotated freely within this framework.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YELLOW foods are reintroduced on the 4-day window only after the exclusion period.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RED/ORANGE foods remain excluded for their full recommended duration.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10.2  Diet of the Future — Principles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GCR protocol, applied long-term, represents a template for what personalised preventive nutrition will look like in the coming decade: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Precision-matched: Every person eats to their immune fingerprint, not to a generic dietary guideline.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Anti-inflammatory by design: The foundation is always whole vegetables, quality proteins, anti-inflammatory fats, and functional phytonutrients.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Rhythm-aware: Eating in alignment with circadian biology rather than social convenience.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Microbiome-central: Prebiotic fibre diversity, fermented food reintroduction post-protocol, and probiotic maintenance as standard practice.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Dynamic: The ALCAT result is a snapshot. Repeat testing at 12–24 months tracks the evolution of immune reactivity as the gut heals.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Candida-aware: Sugar and refined carbohydrate reduction as a permanent feature, not just a temporary intervention.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10.3  Seasonal and Ancestral Alignment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next evolution of the GCR protocol will integrate seasonal food availability and regional/ancestral dietary patterns as a secondary personalisation layer. There is growing evidence that foods native to a patient's ancestral geography are less likely to generate innate immune reactivity — a reflection of generational co-evolution between gut microbiome and regional food antigens. This is a fertile area for clinical observation and future protocol refinement.</w:t>
      </w:r>
    </w:p>
    <w:p>
      <w:r>
        <w:br w:type="page"/>
      </w:r>
    </w:p>
    <w:p>
      <w:pPr>
        <w:pStyle w:val="Heading1"/>
        <w:pBdr>
          <w:bottom w:val="single" w:color="0D737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Appendix A — Universal Permitted Herbs &amp; Spices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Unless reactive on the patient's individual ALCAT panel, the following herbs and spices are generally safe and encouraged for their anti-inflammatory and antimicrobial properties:</w:t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Herb / Spice</w:t>
            </w:r>
          </w:p>
        </w:tc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Properties Relevant to GCR Protocol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Turmeric (Curcumin)</w:t>
            </w:r>
          </w:p>
        </w:tc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NF-kB inhibitor; potent anti-inflammatory; hepatoprotective. Use with black pepper for bioavailability.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Ginger</w:t>
            </w:r>
          </w:p>
        </w:tc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Prostaglandin inhibitor; anti-nausea; stimulates bile flow and digestive enzymes.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Oregano</w:t>
            </w:r>
          </w:p>
        </w:tc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Strong antifungal (carvacrol); antimicrobial; especially valuable in Candida protocols.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Rosemary</w:t>
            </w:r>
          </w:p>
        </w:tc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Carnosic acid — liver-protective Phase II inducer; antioxidant; cognitive support.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Cinnamon</w:t>
            </w:r>
          </w:p>
        </w:tc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Blood glucose regulation; anti-Candida; anti-inflammatory. Use Ceylon (true) cinnamon.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Basil</w:t>
            </w:r>
          </w:p>
        </w:tc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Anti-inflammatory, antimicrobial, mast cell stabilising properties.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Parsley</w:t>
            </w:r>
          </w:p>
        </w:tc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Diuretic; supports kidney elimination; rich in vitamin C and flavonoids.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Dill</w:t>
            </w:r>
          </w:p>
        </w:tc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Carminative; reduces intestinal spasm; supports liver bile secretion.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Thyme</w:t>
            </w:r>
          </w:p>
        </w:tc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Thymol — antifungal, antibacterial; supports mucociliary clearance in respiratory patients.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Cumin / Caraway</w:t>
            </w:r>
          </w:p>
        </w:tc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Carminative; supports digestive enzyme activity; reduces bloating during transition.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D737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Appendix B — Quick Reference Card</w:t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ALWAYS EXCLUDED (all patients, full protocol)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ALWAYS PERMITTED (unless reactive)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dairy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yeast sources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Vinegar (yeast exclusion period)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Added sugar &amp; refined carbs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Grapes &amp; grape products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alcohol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RED/ORANGE ALCAT tier foods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GREEN-list vegetables (baked/steamed/fresh)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GREEN-list fruits (fresh, not dried)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Extra virgin olive oil (primary cooking fat)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Herbal teas (non-reactive)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Celtic / Himalayan sea salt (small amounts)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Manuka honey (1 tsp, morning only)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Lemon juice (dressing only)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C9A84C" w:sz="8" w:space="4"/>
        </w:pBdr>
        <w:spacing w:after="60" w:before="240"/>
        <w:jc w:val="center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This protocol is designed for use by qualified clinical practitioners only.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Individual patient plans must be derived from current ALCAT test results.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MediBalans  |  Dr. Marios Anthis D.O.  |  GCR Protocol v2.0  |  2026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377" w:sz="4" w:space="2"/>
      </w:pBdr>
      <w:tabs>
        <w:tab w:val="right" w:pos="9026"/>
      </w:tabs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MediBalans  |  Confidential Clinical Use Only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6" w:space="2"/>
      </w:pBdr>
      <w:tabs>
        <w:tab w:val="right" w:pos="9026"/>
      </w:tabs>
    </w:pPr>
    <w:r>
      <w:rPr>
        <w:rFonts w:ascii="Arial" w:cs="Arial" w:eastAsia="Arial" w:hAnsi="Arial"/>
        <w:b/>
        <w:bCs/>
        <w:color w:val="1B3A5C"/>
        <w:sz w:val="16"/>
        <w:szCs w:val="16"/>
      </w:rPr>
      <w:t xml:space="preserve">GCR NEXT-GENERATION DETOX PROTOCOL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CLINICAL FRAMEWORK  |  Dr. Marios Anthis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C9A84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2026-03-07T18:24:37.290Z</dcterms:created>
  <dcterms:modified xsi:type="dcterms:W3CDTF">2026-03-07T18:24:37.292Z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