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bidi w:val="0"/>
      </w:pPr>
      <w:r>
        <w:rPr>
          <w:rFonts w:ascii="Arial" w:hAnsi="Arial"/>
          <w:caps w:val="1"/>
          <w:outline w:val="0"/>
          <w:color w:val="888888"/>
          <w:sz w:val="20"/>
          <w:szCs w:val="20"/>
          <w:u w:color="888888"/>
          <w:rtl w:val="0"/>
          <w:lang w:val="de-DE"/>
          <w14:textFill>
            <w14:solidFill>
              <w14:srgbClr w14:val="888888"/>
            </w14:solidFill>
          </w14:textFill>
        </w:rPr>
        <w:t>RESEARCH PROPOSAL</w:t>
      </w:r>
    </w:p>
    <w:p>
      <w:pPr>
        <w:pStyle w:val="Body"/>
        <w:bidi w:val="0"/>
      </w:pPr>
      <w:r>
        <w:rPr>
          <w:rFonts w:ascii="Arial" w:hAnsi="Arial"/>
          <w:b w:val="1"/>
          <w:bCs w:val="1"/>
          <w:outline w:val="0"/>
          <w:color w:val="1f4e79"/>
          <w:sz w:val="40"/>
          <w:szCs w:val="40"/>
          <w:u w:color="1f4e79"/>
          <w:rtl w:val="0"/>
          <w:lang w:val="it-IT"/>
          <w14:textFill>
            <w14:solidFill>
              <w14:srgbClr w14:val="1F4E79"/>
            </w14:solidFill>
          </w14:textFill>
        </w:rPr>
        <w:t>Hierarchical Temporal-Spatial Pattern Fusion (HTSPF):</w:t>
      </w:r>
    </w:p>
    <w:p>
      <w:pPr>
        <w:pStyle w:val="Body"/>
        <w:bidi w:val="0"/>
      </w:pPr>
      <w:r>
        <w:rPr>
          <w:rFonts w:ascii="Arial" w:hAnsi="Arial"/>
          <w:i w:val="1"/>
          <w:iCs w:val="1"/>
          <w:outline w:val="0"/>
          <w:color w:val="2e75b6"/>
          <w:sz w:val="30"/>
          <w:szCs w:val="30"/>
          <w:u w:color="2e75b6"/>
          <w:rtl w:val="0"/>
          <w:lang w:val="en-US"/>
          <w14:textFill>
            <w14:solidFill>
              <w14:srgbClr w14:val="2E75B6"/>
            </w14:solidFill>
          </w14:textFill>
        </w:rPr>
        <w:t>A Unified Cross-Domain Pattern Recognition Framework</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800"/>
        <w:gridCol w:w="6560"/>
      </w:tblGrid>
      <w:tr>
        <w:tblPrEx>
          <w:shd w:val="clear" w:color="auto" w:fill="ced7e7"/>
        </w:tblPrEx>
        <w:trPr>
          <w:trHeight w:val="216"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6e4f0"/>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f4e79"/>
                <w:sz w:val="20"/>
                <w:szCs w:val="20"/>
                <w:u w:color="1f4e79"/>
                <w:shd w:val="nil" w:color="auto" w:fill="auto"/>
                <w:rtl w:val="0"/>
                <w:lang w:val="en-US"/>
                <w14:textFill>
                  <w14:solidFill>
                    <w14:srgbClr w14:val="1F4E79"/>
                  </w14:solidFill>
                </w14:textFill>
              </w:rPr>
              <w:t>Researcher</w:t>
            </w:r>
          </w:p>
        </w:tc>
        <w:tc>
          <w:tcPr>
            <w:tcW w:type="dxa" w:w="6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sz w:val="20"/>
                <w:szCs w:val="20"/>
                <w:u w:color="000000"/>
                <w:shd w:val="nil" w:color="auto" w:fill="auto"/>
                <w:rtl w:val="0"/>
              </w:rPr>
              <w:t>Md. Mehedi Hasan</w:t>
            </w:r>
          </w:p>
        </w:tc>
      </w:tr>
      <w:tr>
        <w:tblPrEx>
          <w:shd w:val="clear" w:color="auto" w:fill="ced7e7"/>
        </w:tblPrEx>
        <w:trPr>
          <w:trHeight w:val="216"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6e4f0"/>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f4e79"/>
                <w:sz w:val="20"/>
                <w:szCs w:val="20"/>
                <w:u w:color="1f4e79"/>
                <w:shd w:val="nil" w:color="auto" w:fill="auto"/>
                <w:rtl w:val="0"/>
                <w:lang w:val="fr-FR"/>
                <w14:textFill>
                  <w14:solidFill>
                    <w14:srgbClr w14:val="1F4E79"/>
                  </w14:solidFill>
                </w14:textFill>
              </w:rPr>
              <w:t>Affiliation</w:t>
            </w:r>
          </w:p>
        </w:tc>
        <w:tc>
          <w:tcPr>
            <w:tcW w:type="dxa" w:w="6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sz w:val="20"/>
                <w:szCs w:val="20"/>
                <w:u w:color="000000"/>
                <w:shd w:val="nil" w:color="auto" w:fill="auto"/>
                <w:rtl w:val="0"/>
                <w:lang w:val="en-US"/>
              </w:rPr>
              <w:t>Dhaka International University (DIU), Bangladesh</w:t>
            </w:r>
          </w:p>
        </w:tc>
      </w:tr>
      <w:tr>
        <w:tblPrEx>
          <w:shd w:val="clear" w:color="auto" w:fill="ced7e7"/>
        </w:tblPrEx>
        <w:trPr>
          <w:trHeight w:val="216"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6e4f0"/>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f4e79"/>
                <w:sz w:val="20"/>
                <w:szCs w:val="20"/>
                <w:u w:color="1f4e79"/>
                <w:shd w:val="nil" w:color="auto" w:fill="auto"/>
                <w:rtl w:val="0"/>
                <w:lang w:val="it-IT"/>
                <w14:textFill>
                  <w14:solidFill>
                    <w14:srgbClr w14:val="1F4E79"/>
                  </w14:solidFill>
                </w14:textFill>
              </w:rPr>
              <w:t>Supervisor</w:t>
            </w:r>
          </w:p>
        </w:tc>
        <w:tc>
          <w:tcPr>
            <w:tcW w:type="dxa" w:w="6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sz w:val="20"/>
                <w:szCs w:val="20"/>
                <w:u w:color="000000"/>
                <w:shd w:val="nil" w:color="auto" w:fill="auto"/>
                <w:rtl w:val="0"/>
              </w:rPr>
              <w:t>Prof. Dr. Md. Abdul Based</w:t>
            </w:r>
          </w:p>
        </w:tc>
      </w:tr>
      <w:tr>
        <w:tblPrEx>
          <w:shd w:val="clear" w:color="auto" w:fill="ced7e7"/>
        </w:tblPrEx>
        <w:trPr>
          <w:trHeight w:val="216"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6e4f0"/>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f4e79"/>
                <w:sz w:val="20"/>
                <w:szCs w:val="20"/>
                <w:u w:color="1f4e79"/>
                <w:shd w:val="nil" w:color="auto" w:fill="auto"/>
                <w:rtl w:val="0"/>
                <w:lang w:val="en-US"/>
                <w14:textFill>
                  <w14:solidFill>
                    <w14:srgbClr w14:val="1F4E79"/>
                  </w14:solidFill>
                </w14:textFill>
              </w:rPr>
              <w:t>Contact</w:t>
            </w:r>
          </w:p>
        </w:tc>
        <w:tc>
          <w:tcPr>
            <w:tcW w:type="dxa" w:w="6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sz w:val="20"/>
                <w:szCs w:val="20"/>
                <w:u w:color="000000"/>
                <w:shd w:val="nil" w:color="auto" w:fill="auto"/>
                <w:rtl w:val="0"/>
                <w:lang w:val="de-DE"/>
              </w:rPr>
              <w:t>meetmehedi1@gmail.com  |  mdmehedihasan.us</w:t>
            </w:r>
          </w:p>
        </w:tc>
      </w:tr>
      <w:tr>
        <w:tblPrEx>
          <w:shd w:val="clear" w:color="auto" w:fill="ced7e7"/>
        </w:tblPrEx>
        <w:trPr>
          <w:trHeight w:val="216"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6e4f0"/>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f4e79"/>
                <w:sz w:val="20"/>
                <w:szCs w:val="20"/>
                <w:u w:color="1f4e79"/>
                <w:shd w:val="nil" w:color="auto" w:fill="auto"/>
                <w:rtl w:val="0"/>
                <w:lang w:val="de-DE"/>
                <w14:textFill>
                  <w14:solidFill>
                    <w14:srgbClr w14:val="1F4E79"/>
                  </w14:solidFill>
                </w14:textFill>
              </w:rPr>
              <w:t>Date</w:t>
            </w:r>
          </w:p>
        </w:tc>
        <w:tc>
          <w:tcPr>
            <w:tcW w:type="dxa" w:w="6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sz w:val="20"/>
                <w:szCs w:val="20"/>
                <w:u w:color="000000"/>
                <w:shd w:val="nil" w:color="auto" w:fill="auto"/>
                <w:rtl w:val="0"/>
                <w:lang w:val="en-US"/>
              </w:rPr>
              <w:t>June 2026</w:t>
            </w:r>
          </w:p>
        </w:tc>
      </w:tr>
      <w:tr>
        <w:tblPrEx>
          <w:shd w:val="clear" w:color="auto" w:fill="ced7e7"/>
        </w:tblPrEx>
        <w:trPr>
          <w:trHeight w:val="216"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6e4f0"/>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f4e79"/>
                <w:sz w:val="20"/>
                <w:szCs w:val="20"/>
                <w:u w:color="1f4e79"/>
                <w:shd w:val="nil" w:color="auto" w:fill="auto"/>
                <w:rtl w:val="0"/>
                <w14:textFill>
                  <w14:solidFill>
                    <w14:srgbClr w14:val="1F4E79"/>
                  </w14:solidFill>
                </w14:textFill>
              </w:rPr>
              <w:t>Target Venue</w:t>
            </w:r>
          </w:p>
        </w:tc>
        <w:tc>
          <w:tcPr>
            <w:tcW w:type="dxa" w:w="6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sz w:val="20"/>
                <w:szCs w:val="20"/>
                <w:u w:color="000000"/>
                <w:shd w:val="nil" w:color="auto" w:fill="auto"/>
                <w:rtl w:val="0"/>
                <w:lang w:val="en-US"/>
              </w:rPr>
              <w:t>IEEE TPAMI / Pattern Recognition (Elsevier) / CVPR / NeurIPS</w:t>
            </w:r>
          </w:p>
        </w:tc>
      </w:tr>
    </w:tbl>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Heading"/>
        <w:pBdr>
          <w:top w:val="nil"/>
          <w:left w:val="nil"/>
          <w:bottom w:val="single" w:color="2e75b6" w:sz="6" w:space="0" w:shadow="0" w:frame="0"/>
          <w:right w:val="nil"/>
        </w:pBdr>
      </w:pPr>
      <w:r>
        <w:rPr>
          <w:outline w:val="0"/>
          <w:color w:val="1f4e79"/>
          <w:u w:color="1f4e79"/>
          <w:rtl w:val="0"/>
          <w:lang w:val="fr-FR"/>
          <w14:textFill>
            <w14:solidFill>
              <w14:srgbClr w14:val="1F4E79"/>
            </w14:solidFill>
          </w14:textFill>
        </w:rPr>
        <w:t>1. Introduction</w:t>
      </w:r>
    </w:p>
    <w:p>
      <w:pPr>
        <w:pStyle w:val="Heading"/>
        <w:pBdr>
          <w:top w:val="nil"/>
          <w:left w:val="nil"/>
          <w:bottom w:val="single" w:color="2e75b6" w:sz="6" w:space="0" w:shadow="0" w:frame="0"/>
          <w:right w:val="nil"/>
        </w:pBdr>
      </w:pPr>
      <w:r>
        <w:rPr>
          <w:outline w:val="0"/>
          <w:color w:val="000000"/>
          <w:sz w:val="22"/>
          <w:szCs w:val="22"/>
          <w:u w:color="000000"/>
          <w:rtl w:val="0"/>
          <w:lang w:val="en-US"/>
          <w14:textFill>
            <w14:solidFill>
              <w14:srgbClr w14:val="000000"/>
            </w14:solidFill>
          </w14:textFill>
        </w:rPr>
        <w:t xml:space="preserve">Pattern recognition is one of the foundational challenges in artificial intelligence, underpinning advances in computer vision, natural language processing, time-series analysis, and multimodal learning. Despite decades of progress, existing approaches remain largely domain-specific: convolutional neural networks for images, transformers for text, recurrent architectures for sequences. This fragmentation creates significant barriers to generalizable intelligence </w:t>
      </w:r>
      <w:r>
        <w:rPr>
          <w:outline w:val="0"/>
          <w:color w:val="000000"/>
          <w:sz w:val="22"/>
          <w:szCs w:val="22"/>
          <w:u w:color="000000"/>
          <w:rtl w:val="0"/>
          <w:lang w:val="en-US"/>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systems that can recognize meaningful structure across diverse input types without domain-specific retraining.</w:t>
      </w:r>
    </w:p>
    <w:p>
      <w:pPr>
        <w:pStyle w:val="Heading"/>
        <w:pBdr>
          <w:top w:val="nil"/>
          <w:left w:val="nil"/>
          <w:bottom w:val="single" w:color="2e75b6" w:sz="6" w:space="0" w:shadow="0" w:frame="0"/>
          <w:right w:val="nil"/>
        </w:pBdr>
      </w:pPr>
    </w:p>
    <w:p>
      <w:pPr>
        <w:pStyle w:val="Heading"/>
        <w:pBdr>
          <w:top w:val="nil"/>
          <w:left w:val="nil"/>
          <w:bottom w:val="single" w:color="2e75b6" w:sz="6" w:space="0" w:shadow="0" w:frame="0"/>
          <w:right w:val="nil"/>
        </w:pBdr>
      </w:pPr>
      <w:r>
        <w:rPr>
          <w:outline w:val="0"/>
          <w:color w:val="000000"/>
          <w:sz w:val="22"/>
          <w:szCs w:val="22"/>
          <w:u w:color="000000"/>
          <w:rtl w:val="0"/>
          <w:lang w:val="en-US"/>
          <w14:textFill>
            <w14:solidFill>
              <w14:srgbClr w14:val="000000"/>
            </w14:solidFill>
          </w14:textFill>
        </w:rPr>
        <w:t xml:space="preserve">This proposal presents the Hierarchical Temporal-Spatial Pattern Fusion (HTSPF) framework </w:t>
      </w:r>
      <w:r>
        <w:rPr>
          <w:outline w:val="0"/>
          <w:color w:val="000000"/>
          <w:sz w:val="22"/>
          <w:szCs w:val="22"/>
          <w:u w:color="000000"/>
          <w:rtl w:val="0"/>
          <w:lang w:val="en-US"/>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 xml:space="preserve">a novel, unified pattern recognition approach that treats all input modalities as spatiotemporal signals, processes them through a shared hierarchical decomposition pipeline, and resolves conflicting patterns at multiple scales. HTSPF draws on insights from signal processing, continual learning, and attention mechanisms to deliver a single framework that achieves competitive or superior performance across vision, language, sequential, and multimodal tasks </w:t>
      </w:r>
      <w:r>
        <w:rPr>
          <w:outline w:val="0"/>
          <w:color w:val="000000"/>
          <w:sz w:val="22"/>
          <w:szCs w:val="22"/>
          <w:u w:color="000000"/>
          <w:rtl w:val="0"/>
          <w:lang w:val="en-US"/>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while remaining interpretable and lightweight at inference time.</w:t>
      </w:r>
    </w:p>
    <w:p>
      <w:pPr>
        <w:pStyle w:val="Heading"/>
        <w:pBdr>
          <w:top w:val="nil"/>
          <w:left w:val="nil"/>
          <w:bottom w:val="single" w:color="2e75b6" w:sz="6" w:space="0" w:shadow="0" w:frame="0"/>
          <w:right w:val="nil"/>
        </w:pBdr>
      </w:pPr>
    </w:p>
    <w:p>
      <w:pPr>
        <w:pStyle w:val="Heading"/>
        <w:pBdr>
          <w:top w:val="nil"/>
          <w:left w:val="nil"/>
          <w:bottom w:val="single" w:color="2e75b6" w:sz="6" w:space="0" w:shadow="0" w:frame="0"/>
          <w:right w:val="nil"/>
        </w:pBdr>
      </w:pPr>
      <w:r>
        <w:rPr>
          <w:outline w:val="0"/>
          <w:color w:val="1f4e79"/>
          <w:u w:color="1f4e79"/>
          <w:rtl w:val="0"/>
          <w:lang w:val="en-US"/>
          <w14:textFill>
            <w14:solidFill>
              <w14:srgbClr w14:val="1F4E79"/>
            </w14:solidFill>
          </w14:textFill>
        </w:rPr>
        <w:t>2. Problem Statement</w:t>
      </w:r>
    </w:p>
    <w:p>
      <w:pPr>
        <w:pStyle w:val="Heading"/>
        <w:pBdr>
          <w:top w:val="nil"/>
          <w:left w:val="nil"/>
          <w:bottom w:val="single" w:color="2e75b6" w:sz="6" w:space="0" w:shadow="0" w:frame="0"/>
          <w:right w:val="nil"/>
        </w:pBdr>
      </w:pPr>
      <w:r>
        <w:rPr>
          <w:outline w:val="0"/>
          <w:color w:val="000000"/>
          <w:sz w:val="22"/>
          <w:szCs w:val="22"/>
          <w:u w:color="000000"/>
          <w:rtl w:val="0"/>
          <w:lang w:val="en-US"/>
          <w14:textFill>
            <w14:solidFill>
              <w14:srgbClr w14:val="000000"/>
            </w14:solidFill>
          </w14:textFill>
        </w:rPr>
        <w:t>The central challenge addressed by this research is the absence of a general-purpose, modality-agnostic pattern recognition algorithm that is simultaneously:</w:t>
      </w:r>
    </w:p>
    <w:p>
      <w:pPr>
        <w:pStyle w:val="List Paragraph"/>
        <w:numPr>
          <w:ilvl w:val="0"/>
          <w:numId w:val="2"/>
        </w:numPr>
        <w:spacing w:before="60" w:after="60"/>
        <w:rPr>
          <w:sz w:val="22"/>
          <w:szCs w:val="22"/>
          <w:lang w:val="en-US"/>
        </w:rPr>
      </w:pPr>
      <w:r>
        <w:rPr>
          <w:rFonts w:ascii="Arial" w:hAnsi="Arial"/>
          <w:sz w:val="22"/>
          <w:szCs w:val="22"/>
          <w:rtl w:val="0"/>
          <w:lang w:val="en-US"/>
        </w:rPr>
        <w:t>Accurate across diverse input domains (images, text, time series, multimodal)</w:t>
      </w:r>
    </w:p>
    <w:p>
      <w:pPr>
        <w:pStyle w:val="List Paragraph"/>
        <w:numPr>
          <w:ilvl w:val="0"/>
          <w:numId w:val="2"/>
        </w:numPr>
        <w:spacing w:before="60" w:after="60"/>
        <w:rPr>
          <w:sz w:val="22"/>
          <w:szCs w:val="22"/>
          <w:lang w:val="fr-FR"/>
        </w:rPr>
      </w:pPr>
      <w:r>
        <w:rPr>
          <w:rFonts w:ascii="Arial" w:hAnsi="Arial"/>
          <w:sz w:val="22"/>
          <w:szCs w:val="22"/>
          <w:rtl w:val="0"/>
          <w:lang w:val="fr-FR"/>
        </w:rPr>
        <w:t xml:space="preserve">Efficient </w:t>
      </w:r>
      <w:r>
        <w:rPr>
          <w:rFonts w:ascii="Arial" w:hAnsi="Arial" w:hint="default"/>
          <w:sz w:val="22"/>
          <w:szCs w:val="22"/>
          <w:rtl w:val="0"/>
          <w:lang w:val="en-US"/>
        </w:rPr>
        <w:t xml:space="preserve">— </w:t>
      </w:r>
      <w:r>
        <w:rPr>
          <w:rFonts w:ascii="Arial" w:hAnsi="Arial"/>
          <w:sz w:val="22"/>
          <w:szCs w:val="22"/>
          <w:rtl w:val="0"/>
          <w:lang w:val="en-US"/>
        </w:rPr>
        <w:t>deployable in resource-constrained environments without domain-specific pipelines</w:t>
      </w:r>
    </w:p>
    <w:p>
      <w:pPr>
        <w:pStyle w:val="List Paragraph"/>
        <w:numPr>
          <w:ilvl w:val="0"/>
          <w:numId w:val="2"/>
        </w:numPr>
        <w:spacing w:before="60" w:after="60"/>
        <w:rPr>
          <w:sz w:val="22"/>
          <w:szCs w:val="22"/>
        </w:rPr>
      </w:pPr>
      <w:r>
        <w:rPr>
          <w:rFonts w:ascii="Arial" w:hAnsi="Arial"/>
          <w:sz w:val="22"/>
          <w:szCs w:val="22"/>
          <w:rtl w:val="0"/>
        </w:rPr>
        <w:t xml:space="preserve">Robust </w:t>
      </w:r>
      <w:r>
        <w:rPr>
          <w:rFonts w:ascii="Arial" w:hAnsi="Arial" w:hint="default"/>
          <w:sz w:val="22"/>
          <w:szCs w:val="22"/>
          <w:rtl w:val="0"/>
          <w:lang w:val="en-US"/>
        </w:rPr>
        <w:t xml:space="preserve">— </w:t>
      </w:r>
      <w:r>
        <w:rPr>
          <w:rFonts w:ascii="Arial" w:hAnsi="Arial"/>
          <w:sz w:val="22"/>
          <w:szCs w:val="22"/>
          <w:rtl w:val="0"/>
          <w:lang w:val="en-US"/>
        </w:rPr>
        <w:t>capable of handling noisy, incomplete, or adversarially perturbed inputs</w:t>
      </w:r>
    </w:p>
    <w:p>
      <w:pPr>
        <w:pStyle w:val="List Paragraph"/>
        <w:numPr>
          <w:ilvl w:val="0"/>
          <w:numId w:val="2"/>
        </w:numPr>
        <w:spacing w:before="60" w:after="60"/>
        <w:rPr>
          <w:sz w:val="22"/>
          <w:szCs w:val="22"/>
          <w:lang w:val="es-ES_tradnl"/>
        </w:rPr>
      </w:pPr>
      <w:r>
        <w:rPr>
          <w:rFonts w:ascii="Arial" w:hAnsi="Arial"/>
          <w:sz w:val="22"/>
          <w:szCs w:val="22"/>
          <w:rtl w:val="0"/>
          <w:lang w:val="es-ES_tradnl"/>
        </w:rPr>
        <w:t xml:space="preserve">Interpretable </w:t>
      </w:r>
      <w:r>
        <w:rPr>
          <w:rFonts w:ascii="Arial" w:hAnsi="Arial" w:hint="default"/>
          <w:sz w:val="22"/>
          <w:szCs w:val="22"/>
          <w:rtl w:val="0"/>
          <w:lang w:val="en-US"/>
        </w:rPr>
        <w:t xml:space="preserve">— </w:t>
      </w:r>
      <w:r>
        <w:rPr>
          <w:rFonts w:ascii="Arial" w:hAnsi="Arial"/>
          <w:sz w:val="22"/>
          <w:szCs w:val="22"/>
          <w:rtl w:val="0"/>
          <w:lang w:val="en-US"/>
        </w:rPr>
        <w:t>providing explanations for recognized patterns aligned with SHAP-compatible attribution</w:t>
      </w:r>
    </w:p>
    <w:p>
      <w:pPr>
        <w:pStyle w:val="List Paragraph"/>
        <w:spacing w:before="60" w:after="60"/>
      </w:pPr>
    </w:p>
    <w:p>
      <w:pPr>
        <w:pStyle w:val="List Paragraph"/>
        <w:spacing w:before="60" w:after="60"/>
      </w:pPr>
      <w:r>
        <w:rPr>
          <w:rFonts w:ascii="Arial" w:hAnsi="Arial"/>
          <w:sz w:val="22"/>
          <w:szCs w:val="22"/>
          <w:rtl w:val="0"/>
          <w:lang w:val="en-US"/>
        </w:rPr>
        <w:t>Current state-of-the-art systems address these dimensions in isolation. No published framework unifies them under a single mathematical formulation. This gap is particularly acute in low-resource settings such as Bangladesh, where deployment of multiple domain-specific models is computationally prohibitive. The absence of a unified framework also limits cross-modal transfer learning, an increasingly critical capability in real-world AI applications.</w:t>
      </w:r>
    </w:p>
    <w:p>
      <w:pPr>
        <w:pStyle w:val="List Paragraph"/>
        <w:spacing w:before="60" w:after="60"/>
      </w:pPr>
    </w:p>
    <w:p>
      <w:pPr>
        <w:pStyle w:val="Heading"/>
        <w:pBdr>
          <w:top w:val="nil"/>
          <w:left w:val="nil"/>
          <w:bottom w:val="single" w:color="2e75b6" w:sz="6" w:space="0" w:shadow="0" w:frame="0"/>
          <w:right w:val="nil"/>
        </w:pBdr>
      </w:pPr>
      <w:r>
        <w:rPr>
          <w:outline w:val="0"/>
          <w:color w:val="1f4e79"/>
          <w:u w:color="1f4e79"/>
          <w:rtl w:val="0"/>
          <w:lang w:val="en-US"/>
          <w14:textFill>
            <w14:solidFill>
              <w14:srgbClr w14:val="1F4E79"/>
            </w14:solidFill>
          </w14:textFill>
        </w:rPr>
        <w:t>3. Review of Existing Work</w:t>
      </w:r>
    </w:p>
    <w:p>
      <w:pPr>
        <w:pStyle w:val="Heading 2"/>
      </w:pPr>
      <w:r>
        <w:rPr>
          <w:outline w:val="0"/>
          <w:color w:val="2e75b6"/>
          <w:u w:color="2e75b6"/>
          <w:rtl w:val="0"/>
          <w:lang w:val="en-US"/>
          <w14:textFill>
            <w14:solidFill>
              <w14:srgbClr w14:val="2E75B6"/>
            </w14:solidFill>
          </w14:textFill>
        </w:rPr>
        <w:t>3.1 Domain-Specific Pattern Recognition</w:t>
      </w:r>
    </w:p>
    <w:p>
      <w:pPr>
        <w:pStyle w:val="Heading 2"/>
      </w:pPr>
      <w:r>
        <w:rPr>
          <w:outline w:val="0"/>
          <w:color w:val="000000"/>
          <w:sz w:val="22"/>
          <w:szCs w:val="22"/>
          <w:u w:color="000000"/>
          <w:rtl w:val="0"/>
          <w:lang w:val="en-US"/>
          <w14:textFill>
            <w14:solidFill>
              <w14:srgbClr w14:val="000000"/>
            </w14:solidFill>
          </w14:textFill>
        </w:rPr>
        <w:t>Computer vision has been dominated by convolutional neural networks (CNNs) since AlexNet (Krizhevsky et al., 2012), with subsequent architectures such as ResNet, EfficientNet, and Vision Transformers (ViT) achieving state-of-the-art results on standard benchmarks. For sequential data, Long Short-Term Memory (LSTM) networks and temporal convolutional networks (TCN) have been widely adopted. NLP has been transformed by transformer architectures (Vaswani et al., 2017), with models like BERT and GPT demonstrating powerful contextual pattern recognition in text.</w:t>
      </w:r>
    </w:p>
    <w:p>
      <w:pPr>
        <w:pStyle w:val="Heading 2"/>
      </w:pPr>
      <w:r>
        <w:rPr>
          <w:outline w:val="0"/>
          <w:color w:val="2e75b6"/>
          <w:u w:color="2e75b6"/>
          <w:rtl w:val="0"/>
          <w:lang w:val="en-US"/>
          <w14:textFill>
            <w14:solidFill>
              <w14:srgbClr w14:val="2E75B6"/>
            </w14:solidFill>
          </w14:textFill>
        </w:rPr>
        <w:t>3.2 Cross-Domain and Multimodal Approaches</w:t>
      </w:r>
    </w:p>
    <w:p>
      <w:pPr>
        <w:pStyle w:val="Heading 2"/>
      </w:pPr>
      <w:r>
        <w:rPr>
          <w:outline w:val="0"/>
          <w:color w:val="000000"/>
          <w:sz w:val="22"/>
          <w:szCs w:val="22"/>
          <w:u w:color="000000"/>
          <w:rtl w:val="0"/>
          <w:lang w:val="en-US"/>
          <w14:textFill>
            <w14:solidFill>
              <w14:srgbClr w14:val="000000"/>
            </w14:solidFill>
          </w14:textFill>
        </w:rPr>
        <w:t>Recent work has begun to explore cross-domain generalization. Perceiver (Jaegle et al., 2021) proposes a general architecture that reduces arbitrary inputs to a latent space via cross-attention. Unified-IO (Lu et al., 2022) extends this to multimodal tasks. However, these approaches rely on massive parameter counts and lack explicit conflict resolution between competing pattern hypotheses. They also provide limited interpretability, a significant limitation in domains requiring transparency.</w:t>
      </w:r>
    </w:p>
    <w:p>
      <w:pPr>
        <w:pStyle w:val="Heading 2"/>
      </w:pPr>
      <w:r>
        <w:rPr>
          <w:outline w:val="0"/>
          <w:color w:val="2e75b6"/>
          <w:u w:color="2e75b6"/>
          <w:rtl w:val="0"/>
          <w:lang w:val="en-US"/>
          <w14:textFill>
            <w14:solidFill>
              <w14:srgbClr w14:val="2E75B6"/>
            </w14:solidFill>
          </w14:textFill>
        </w:rPr>
        <w:t>3.3 Continual Learning and Pattern Conflict</w:t>
      </w:r>
    </w:p>
    <w:p>
      <w:pPr>
        <w:pStyle w:val="Heading 2"/>
      </w:pPr>
      <w:r>
        <w:rPr>
          <w:outline w:val="0"/>
          <w:color w:val="000000"/>
          <w:sz w:val="22"/>
          <w:szCs w:val="22"/>
          <w:u w:color="000000"/>
          <w:rtl w:val="0"/>
          <w:lang w:val="en-US"/>
          <w14:textFill>
            <w14:solidFill>
              <w14:srgbClr w14:val="000000"/>
            </w14:solidFill>
          </w14:textFill>
        </w:rPr>
        <w:t xml:space="preserve">Catastrophic forgetting in continual learning systems is fundamentally a pattern conflict problem </w:t>
      </w:r>
      <w:r>
        <w:rPr>
          <w:outline w:val="0"/>
          <w:color w:val="000000"/>
          <w:sz w:val="22"/>
          <w:szCs w:val="22"/>
          <w:u w:color="000000"/>
          <w:rtl w:val="0"/>
          <w:lang w:val="en-US"/>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 xml:space="preserve">new patterns overwrite existing ones. Elastic Weight Consolidation (EWC) and Gradient Episodic Memory (GEM) address this through parameter regularization and gradient projection, respectively. The author's prior work on MEWC-LLM introduces Fisher-based truth importance scoring and gradient conflict detection (CATP) </w:t>
      </w:r>
      <w:r>
        <w:rPr>
          <w:outline w:val="0"/>
          <w:color w:val="000000"/>
          <w:sz w:val="22"/>
          <w:szCs w:val="22"/>
          <w:u w:color="000000"/>
          <w:rtl w:val="0"/>
          <w:lang w:val="en-US"/>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mechanisms directly applicable to the pattern conflict resolution component of HTSPF.</w:t>
      </w:r>
    </w:p>
    <w:p>
      <w:pPr>
        <w:pStyle w:val="Heading 2"/>
      </w:pPr>
      <w:r>
        <w:rPr>
          <w:outline w:val="0"/>
          <w:color w:val="2e75b6"/>
          <w:u w:color="2e75b6"/>
          <w:rtl w:val="0"/>
          <w:lang w:val="en-US"/>
          <w14:textFill>
            <w14:solidFill>
              <w14:srgbClr w14:val="2E75B6"/>
            </w14:solidFill>
          </w14:textFill>
        </w:rPr>
        <w:t>3.4 Research Gap</w:t>
      </w:r>
    </w:p>
    <w:p>
      <w:pPr>
        <w:pStyle w:val="Heading 2"/>
      </w:pPr>
      <w:r>
        <w:rPr>
          <w:outline w:val="0"/>
          <w:color w:val="000000"/>
          <w:sz w:val="22"/>
          <w:szCs w:val="22"/>
          <w:u w:color="000000"/>
          <w:rtl w:val="0"/>
          <w:lang w:val="en-US"/>
          <w14:textFill>
            <w14:solidFill>
              <w14:srgbClr w14:val="000000"/>
            </w14:solidFill>
          </w14:textFill>
        </w:rPr>
        <w:t xml:space="preserve">No existing framework provides: (1) modality-agnostic signal representation, (2) explicit hierarchical conflict resolution across scales, (3) adaptive inference-time sparsity, and (4) built-in interpretability </w:t>
      </w:r>
      <w:r>
        <w:rPr>
          <w:outline w:val="0"/>
          <w:color w:val="000000"/>
          <w:sz w:val="22"/>
          <w:szCs w:val="22"/>
          <w:u w:color="000000"/>
          <w:rtl w:val="0"/>
          <w:lang w:val="en-US"/>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all within a single unified architecture. HTSPF addresses this gap directly.</w:t>
      </w:r>
    </w:p>
    <w:p>
      <w:pPr>
        <w:pStyle w:val="Heading 2"/>
      </w:pPr>
    </w:p>
    <w:p>
      <w:pPr>
        <w:pStyle w:val="Heading"/>
        <w:pBdr>
          <w:top w:val="nil"/>
          <w:left w:val="nil"/>
          <w:bottom w:val="single" w:color="2e75b6" w:sz="6" w:space="0" w:shadow="0" w:frame="0"/>
          <w:right w:val="nil"/>
        </w:pBdr>
      </w:pPr>
      <w:r>
        <w:rPr>
          <w:outline w:val="0"/>
          <w:color w:val="1f4e79"/>
          <w:u w:color="1f4e79"/>
          <w:rtl w:val="0"/>
          <w:lang w:val="en-US"/>
          <w14:textFill>
            <w14:solidFill>
              <w14:srgbClr w14:val="1F4E79"/>
            </w14:solidFill>
          </w14:textFill>
        </w:rPr>
        <w:t>4. Research Questions</w:t>
      </w:r>
    </w:p>
    <w:p>
      <w:pPr>
        <w:pStyle w:val="List Paragraph"/>
        <w:numPr>
          <w:ilvl w:val="0"/>
          <w:numId w:val="4"/>
        </w:numPr>
        <w:spacing w:before="60" w:after="60"/>
        <w:rPr>
          <w:sz w:val="22"/>
          <w:szCs w:val="22"/>
          <w:lang w:val="en-US"/>
        </w:rPr>
      </w:pPr>
      <w:r>
        <w:rPr>
          <w:rFonts w:ascii="Arial" w:hAnsi="Arial"/>
          <w:sz w:val="22"/>
          <w:szCs w:val="22"/>
          <w:rtl w:val="0"/>
          <w:lang w:val="en-US"/>
        </w:rPr>
        <w:t>RQ1: Can all pattern recognition modalities (image, text, time series, multimodal) be represented as a unified spatiotemporal signal without loss of discriminative information?</w:t>
      </w:r>
    </w:p>
    <w:p>
      <w:pPr>
        <w:pStyle w:val="List Paragraph"/>
        <w:numPr>
          <w:ilvl w:val="0"/>
          <w:numId w:val="4"/>
        </w:numPr>
        <w:spacing w:before="60" w:after="60"/>
        <w:rPr>
          <w:sz w:val="22"/>
          <w:szCs w:val="22"/>
          <w:lang w:val="en-US"/>
        </w:rPr>
      </w:pPr>
      <w:r>
        <w:rPr>
          <w:rFonts w:ascii="Arial" w:hAnsi="Arial"/>
          <w:sz w:val="22"/>
          <w:szCs w:val="22"/>
          <w:rtl w:val="0"/>
          <w:lang w:val="en-US"/>
        </w:rPr>
        <w:t>RQ2: Does explicit hierarchical conflict-aware attention improve pattern recognition accuracy over standard multi-scale attention, particularly in noisy or ambiguous inputs?</w:t>
      </w:r>
    </w:p>
    <w:p>
      <w:pPr>
        <w:pStyle w:val="List Paragraph"/>
        <w:numPr>
          <w:ilvl w:val="0"/>
          <w:numId w:val="4"/>
        </w:numPr>
        <w:spacing w:before="60" w:after="60"/>
        <w:rPr>
          <w:sz w:val="22"/>
          <w:szCs w:val="22"/>
          <w:lang w:val="en-US"/>
        </w:rPr>
      </w:pPr>
      <w:r>
        <w:rPr>
          <w:rFonts w:ascii="Arial" w:hAnsi="Arial"/>
          <w:sz w:val="22"/>
          <w:szCs w:val="22"/>
          <w:rtl w:val="0"/>
          <w:lang w:val="en-US"/>
        </w:rPr>
        <w:t>RQ3: Can adaptive sparsity gating reduce inference-time computational cost without statistically significant accuracy degradation?</w:t>
      </w:r>
    </w:p>
    <w:p>
      <w:pPr>
        <w:pStyle w:val="List Paragraph"/>
        <w:numPr>
          <w:ilvl w:val="0"/>
          <w:numId w:val="4"/>
        </w:numPr>
        <w:spacing w:before="60" w:after="60"/>
        <w:rPr>
          <w:sz w:val="22"/>
          <w:szCs w:val="22"/>
          <w:lang w:val="en-US"/>
        </w:rPr>
      </w:pPr>
      <w:r>
        <w:rPr>
          <w:rFonts w:ascii="Arial" w:hAnsi="Arial"/>
          <w:sz w:val="22"/>
          <w:szCs w:val="22"/>
          <w:rtl w:val="0"/>
          <w:lang w:val="en-US"/>
        </w:rPr>
        <w:t>RQ4: Does HTSPF's frequency-context manifold representation yield SHAP-compatible pattern attributions that are meaningfully interpretable to domain experts?</w:t>
      </w:r>
    </w:p>
    <w:p>
      <w:pPr>
        <w:pStyle w:val="List Paragraph"/>
        <w:numPr>
          <w:ilvl w:val="0"/>
          <w:numId w:val="4"/>
        </w:numPr>
        <w:spacing w:before="60" w:after="60"/>
        <w:rPr>
          <w:sz w:val="22"/>
          <w:szCs w:val="22"/>
          <w:lang w:val="en-US"/>
        </w:rPr>
      </w:pPr>
      <w:r>
        <w:rPr>
          <w:rFonts w:ascii="Arial" w:hAnsi="Arial"/>
          <w:sz w:val="22"/>
          <w:szCs w:val="22"/>
          <w:rtl w:val="0"/>
          <w:lang w:val="en-US"/>
        </w:rPr>
        <w:t>RQ5: Does HTSPF generalize effectively to low-resource deployment settings relevant to South Asian and Global South contexts?</w:t>
      </w:r>
    </w:p>
    <w:p>
      <w:pPr>
        <w:pStyle w:val="List Paragraph"/>
        <w:spacing w:before="60" w:after="60"/>
      </w:pPr>
    </w:p>
    <w:p>
      <w:pPr>
        <w:pStyle w:val="Heading"/>
        <w:pBdr>
          <w:top w:val="nil"/>
          <w:left w:val="nil"/>
          <w:bottom w:val="single" w:color="2e75b6" w:sz="6" w:space="0" w:shadow="0" w:frame="0"/>
          <w:right w:val="nil"/>
        </w:pBdr>
      </w:pPr>
      <w:r>
        <w:rPr>
          <w:outline w:val="0"/>
          <w:color w:val="1f4e79"/>
          <w:u w:color="1f4e79"/>
          <w:rtl w:val="0"/>
          <w:lang w:val="en-US"/>
          <w14:textFill>
            <w14:solidFill>
              <w14:srgbClr w14:val="1F4E79"/>
            </w14:solidFill>
          </w14:textFill>
        </w:rPr>
        <w:t>5. Research Objectives</w:t>
      </w:r>
    </w:p>
    <w:p>
      <w:pPr>
        <w:pStyle w:val="List Paragraph"/>
        <w:numPr>
          <w:ilvl w:val="0"/>
          <w:numId w:val="2"/>
        </w:numPr>
        <w:spacing w:before="60" w:after="60"/>
        <w:rPr>
          <w:sz w:val="22"/>
          <w:szCs w:val="22"/>
          <w:lang w:val="en-US"/>
        </w:rPr>
      </w:pPr>
      <w:r>
        <w:rPr>
          <w:rFonts w:ascii="Arial" w:hAnsi="Arial"/>
          <w:sz w:val="22"/>
          <w:szCs w:val="22"/>
          <w:rtl w:val="0"/>
          <w:lang w:val="en-US"/>
        </w:rPr>
        <w:t>Develop the Universal Signal Embedding (USE) component: a learnable wavelet-style transform that maps heterogeneous inputs to a unified 2D frequency-context manifold.</w:t>
      </w:r>
    </w:p>
    <w:p>
      <w:pPr>
        <w:pStyle w:val="List Paragraph"/>
        <w:numPr>
          <w:ilvl w:val="0"/>
          <w:numId w:val="2"/>
        </w:numPr>
        <w:spacing w:before="60" w:after="60"/>
        <w:rPr>
          <w:sz w:val="22"/>
          <w:szCs w:val="22"/>
          <w:lang w:val="en-US"/>
        </w:rPr>
      </w:pPr>
      <w:r>
        <w:rPr>
          <w:rFonts w:ascii="Arial" w:hAnsi="Arial"/>
          <w:sz w:val="22"/>
          <w:szCs w:val="22"/>
          <w:rtl w:val="0"/>
          <w:lang w:val="en-US"/>
        </w:rPr>
        <w:t>Formalize the Hierarchical Conflict-Aware Attention (HCAA) mechanism and prove theoretical properties of conflict resolution under competing pattern hypotheses.</w:t>
      </w:r>
    </w:p>
    <w:p>
      <w:pPr>
        <w:pStyle w:val="List Paragraph"/>
        <w:numPr>
          <w:ilvl w:val="0"/>
          <w:numId w:val="2"/>
        </w:numPr>
        <w:spacing w:before="60" w:after="60"/>
        <w:rPr>
          <w:sz w:val="22"/>
          <w:szCs w:val="22"/>
          <w:lang w:val="en-US"/>
        </w:rPr>
      </w:pPr>
      <w:r>
        <w:rPr>
          <w:rFonts w:ascii="Arial" w:hAnsi="Arial"/>
          <w:sz w:val="22"/>
          <w:szCs w:val="22"/>
          <w:rtl w:val="0"/>
          <w:lang w:val="en-US"/>
        </w:rPr>
        <w:t>Design and implement the Adaptive Sparsity Gate (ASG) for runtime pruning of redundant pattern pathways.</w:t>
      </w:r>
    </w:p>
    <w:p>
      <w:pPr>
        <w:pStyle w:val="List Paragraph"/>
        <w:numPr>
          <w:ilvl w:val="0"/>
          <w:numId w:val="2"/>
        </w:numPr>
        <w:spacing w:before="60" w:after="60"/>
        <w:rPr>
          <w:sz w:val="22"/>
          <w:szCs w:val="22"/>
          <w:lang w:val="en-US"/>
        </w:rPr>
      </w:pPr>
      <w:r>
        <w:rPr>
          <w:rFonts w:ascii="Arial" w:hAnsi="Arial"/>
          <w:sz w:val="22"/>
          <w:szCs w:val="22"/>
          <w:rtl w:val="0"/>
          <w:lang w:val="en-US"/>
        </w:rPr>
        <w:t>Validate HTSPF on established cross-domain benchmarks spanning vision, NLP, time series, and multimodal tasks.</w:t>
      </w:r>
    </w:p>
    <w:p>
      <w:pPr>
        <w:pStyle w:val="List Paragraph"/>
        <w:numPr>
          <w:ilvl w:val="0"/>
          <w:numId w:val="2"/>
        </w:numPr>
        <w:spacing w:before="60" w:after="60"/>
        <w:rPr>
          <w:sz w:val="22"/>
          <w:szCs w:val="22"/>
          <w:lang w:val="en-US"/>
        </w:rPr>
      </w:pPr>
      <w:r>
        <w:rPr>
          <w:rFonts w:ascii="Arial" w:hAnsi="Arial"/>
          <w:sz w:val="22"/>
          <w:szCs w:val="22"/>
          <w:rtl w:val="0"/>
          <w:lang w:val="en-US"/>
        </w:rPr>
        <w:t>Produce a SHAP-integrated interpretability layer and evaluate explanation quality with domain experts.</w:t>
      </w:r>
    </w:p>
    <w:p>
      <w:pPr>
        <w:pStyle w:val="List Paragraph"/>
        <w:numPr>
          <w:ilvl w:val="0"/>
          <w:numId w:val="2"/>
        </w:numPr>
        <w:spacing w:before="60" w:after="60"/>
        <w:rPr>
          <w:sz w:val="22"/>
          <w:szCs w:val="22"/>
          <w:lang w:val="en-US"/>
        </w:rPr>
      </w:pPr>
      <w:r>
        <w:rPr>
          <w:rFonts w:ascii="Arial" w:hAnsi="Arial"/>
          <w:sz w:val="22"/>
          <w:szCs w:val="22"/>
          <w:rtl w:val="0"/>
          <w:lang w:val="en-US"/>
        </w:rPr>
        <w:t>Benchmark HTSPF against state-of-the-art domain-specific and cross-domain baselines.</w:t>
      </w:r>
    </w:p>
    <w:p>
      <w:pPr>
        <w:pStyle w:val="List Paragraph"/>
        <w:spacing w:before="60" w:after="60"/>
      </w:pPr>
    </w:p>
    <w:p>
      <w:pPr>
        <w:pStyle w:val="Heading"/>
        <w:pBdr>
          <w:top w:val="nil"/>
          <w:left w:val="nil"/>
          <w:bottom w:val="single" w:color="2e75b6" w:sz="6" w:space="0" w:shadow="0" w:frame="0"/>
          <w:right w:val="nil"/>
        </w:pBdr>
      </w:pPr>
      <w:r>
        <w:rPr>
          <w:outline w:val="0"/>
          <w:color w:val="1f4e79"/>
          <w:u w:color="1f4e79"/>
          <w:rtl w:val="0"/>
          <w:lang w:val="en-US"/>
          <w14:textFill>
            <w14:solidFill>
              <w14:srgbClr w14:val="1F4E79"/>
            </w14:solidFill>
          </w14:textFill>
        </w:rPr>
        <w:t>6. Proposed Methodology</w:t>
      </w:r>
    </w:p>
    <w:p>
      <w:pPr>
        <w:pStyle w:val="Heading"/>
        <w:pBdr>
          <w:top w:val="nil"/>
          <w:left w:val="nil"/>
          <w:bottom w:val="single" w:color="2e75b6" w:sz="6" w:space="0" w:shadow="0" w:frame="0"/>
          <w:right w:val="nil"/>
        </w:pBdr>
      </w:pPr>
      <w:r>
        <w:rPr>
          <w:outline w:val="0"/>
          <w:color w:val="000000"/>
          <w:sz w:val="22"/>
          <w:szCs w:val="22"/>
          <w:u w:color="000000"/>
          <w:rtl w:val="0"/>
          <w:lang w:val="en-US"/>
          <w14:textFill>
            <w14:solidFill>
              <w14:srgbClr w14:val="000000"/>
            </w14:solidFill>
          </w14:textFill>
        </w:rPr>
        <w:t>HTSPF is structured as a three-component pipeline operating over a shared latent manifold:</w:t>
      </w:r>
    </w:p>
    <w:p>
      <w:pPr>
        <w:pStyle w:val="Heading"/>
        <w:pBdr>
          <w:top w:val="nil"/>
          <w:left w:val="nil"/>
          <w:bottom w:val="single" w:color="2e75b6" w:sz="6" w:space="0" w:shadow="0" w:frame="0"/>
          <w:right w:val="nil"/>
        </w:pBdr>
      </w:pPr>
    </w:p>
    <w:p>
      <w:pPr>
        <w:pStyle w:val="Heading 2"/>
      </w:pPr>
      <w:r>
        <w:rPr>
          <w:outline w:val="0"/>
          <w:color w:val="2e75b6"/>
          <w:u w:color="2e75b6"/>
          <w:rtl w:val="0"/>
          <w:lang w:val="en-US"/>
          <w14:textFill>
            <w14:solidFill>
              <w14:srgbClr w14:val="2E75B6"/>
            </w14:solidFill>
          </w14:textFill>
        </w:rPr>
        <w:t>6.1 Component 1: Universal Signal Embedding (USE)</w:t>
      </w:r>
    </w:p>
    <w:p>
      <w:pPr>
        <w:pStyle w:val="Heading 2"/>
      </w:pPr>
      <w:r>
        <w:rPr>
          <w:outline w:val="0"/>
          <w:color w:val="000000"/>
          <w:sz w:val="22"/>
          <w:szCs w:val="22"/>
          <w:u w:color="000000"/>
          <w:rtl w:val="0"/>
          <w:lang w:val="en-US"/>
          <w14:textFill>
            <w14:solidFill>
              <w14:srgbClr w14:val="000000"/>
            </w14:solidFill>
          </w14:textFill>
        </w:rPr>
        <w:t xml:space="preserve">Any input modality </w:t>
      </w:r>
      <w:r>
        <w:rPr>
          <w:outline w:val="0"/>
          <w:color w:val="000000"/>
          <w:sz w:val="22"/>
          <w:szCs w:val="22"/>
          <w:u w:color="000000"/>
          <w:rtl w:val="0"/>
          <w:lang w:val="en-US"/>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 xml:space="preserve">pixel grid, token embedding sequence, sensor stream, or feature vector </w:t>
      </w:r>
      <w:r>
        <w:rPr>
          <w:outline w:val="0"/>
          <w:color w:val="000000"/>
          <w:sz w:val="22"/>
          <w:szCs w:val="22"/>
          <w:u w:color="000000"/>
          <w:rtl w:val="0"/>
          <w:lang w:val="en-US"/>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is projected into a 2D frequency-context manifold using a learnable discrete wavelet transform (LDWT). Unlike fixed wavelet bases, the transform parameters are learned end-to-end, enabling the manifold to adapt to domain-specific structure while preserving cross-domain comparability. Formally, given input X, the embedding E = LDWT(X; theta) where theta are trainable parameters optimized jointly with downstream tasks.</w:t>
      </w:r>
    </w:p>
    <w:p>
      <w:pPr>
        <w:pStyle w:val="Heading 2"/>
      </w:pPr>
      <w:r>
        <w:rPr>
          <w:outline w:val="0"/>
          <w:color w:val="2e75b6"/>
          <w:u w:color="2e75b6"/>
          <w:rtl w:val="0"/>
          <w:lang w:val="en-US"/>
          <w14:textFill>
            <w14:solidFill>
              <w14:srgbClr w14:val="2E75B6"/>
            </w14:solidFill>
          </w14:textFill>
        </w:rPr>
        <w:t>6.2 Component 2: Hierarchical Conflict-Aware Attention (HCAA)</w:t>
      </w:r>
    </w:p>
    <w:p>
      <w:pPr>
        <w:pStyle w:val="Heading 2"/>
      </w:pPr>
      <w:r>
        <w:rPr>
          <w:outline w:val="0"/>
          <w:color w:val="000000"/>
          <w:sz w:val="22"/>
          <w:szCs w:val="22"/>
          <w:u w:color="000000"/>
          <w:rtl w:val="0"/>
          <w:lang w:val="en-US"/>
          <w14:textFill>
            <w14:solidFill>
              <w14:srgbClr w14:val="000000"/>
            </w14:solidFill>
          </w14:textFill>
        </w:rPr>
        <w:t xml:space="preserve">HCAA operates on the embedded manifold at multiple scales (fine, mid, coarse). At each scale, a standard self-attention mechanism identifies candidate patterns. A novel Conflict Detection Module (CDM) </w:t>
      </w:r>
      <w:r>
        <w:rPr>
          <w:outline w:val="0"/>
          <w:color w:val="000000"/>
          <w:sz w:val="22"/>
          <w:szCs w:val="22"/>
          <w:u w:color="000000"/>
          <w:rtl w:val="0"/>
          <w:lang w:val="en-US"/>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 xml:space="preserve">inspired by gradient conflict detection in CATP from MEWC-LLM </w:t>
      </w:r>
      <w:r>
        <w:rPr>
          <w:outline w:val="0"/>
          <w:color w:val="000000"/>
          <w:sz w:val="22"/>
          <w:szCs w:val="22"/>
          <w:u w:color="000000"/>
          <w:rtl w:val="0"/>
          <w:lang w:val="en-US"/>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identifies pairs of pattern hypotheses that produce contradictory predictions and applies a weighted resolution strategy: patterns with higher Fisher information scores (indicating importance to previously stable representations) suppress conflicting lower-confidence patterns.</w:t>
      </w:r>
    </w:p>
    <w:p>
      <w:pPr>
        <w:pStyle w:val="Heading 2"/>
      </w:pPr>
      <w:r>
        <w:rPr>
          <w:outline w:val="0"/>
          <w:color w:val="2e75b6"/>
          <w:u w:color="2e75b6"/>
          <w:rtl w:val="0"/>
          <w:lang w:val="en-US"/>
          <w14:textFill>
            <w14:solidFill>
              <w14:srgbClr w14:val="2E75B6"/>
            </w14:solidFill>
          </w14:textFill>
        </w:rPr>
        <w:t>6.3 Component 3: Adaptive Sparsity Gate (ASG)</w:t>
      </w:r>
    </w:p>
    <w:p>
      <w:pPr>
        <w:pStyle w:val="Heading 2"/>
      </w:pPr>
      <w:r>
        <w:rPr>
          <w:outline w:val="0"/>
          <w:color w:val="000000"/>
          <w:sz w:val="22"/>
          <w:szCs w:val="22"/>
          <w:u w:color="000000"/>
          <w:rtl w:val="0"/>
          <w:lang w:val="en-US"/>
          <w14:textFill>
            <w14:solidFill>
              <w14:srgbClr w14:val="000000"/>
            </w14:solidFill>
          </w14:textFill>
        </w:rPr>
        <w:t>At inference time, the ASG evaluates the activation distribution of each pattern pathway and prunes pathways whose contributions fall below a learned threshold. This gating is input-conditioned: simple patterns require fewer active pathways, while complex or ambiguous inputs retain full capacity. The gate is trained with a sparsity regularization term encouraging efficient inference without accuracy loss.</w:t>
      </w:r>
    </w:p>
    <w:p>
      <w:pPr>
        <w:pStyle w:val="Heading 2"/>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00"/>
        <w:gridCol w:w="4360"/>
        <w:gridCol w:w="3000"/>
      </w:tblGrid>
      <w:tr>
        <w:tblPrEx>
          <w:shd w:val="clear" w:color="auto" w:fill="ced7e7"/>
        </w:tblPrEx>
        <w:trPr>
          <w:trHeight w:val="216" w:hRule="atLeast"/>
        </w:trPr>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4e79"/>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Phase</w:t>
            </w:r>
          </w:p>
        </w:tc>
        <w:tc>
          <w:tcPr>
            <w:tcW w:type="dxa" w:w="4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4e79"/>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Activity</w:t>
            </w:r>
          </w:p>
        </w:tc>
        <w:tc>
          <w:tcPr>
            <w:tcW w:type="dxa" w:w="3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4e79"/>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ffffff"/>
                <w:sz w:val="20"/>
                <w:szCs w:val="20"/>
                <w:u w:color="ffffff"/>
                <w:shd w:val="nil" w:color="auto" w:fill="auto"/>
                <w:rtl w:val="0"/>
                <w14:textFill>
                  <w14:solidFill>
                    <w14:srgbClr w14:val="FFFFFF"/>
                  </w14:solidFill>
                </w14:textFill>
              </w:rPr>
              <w:t>Output</w:t>
            </w:r>
          </w:p>
        </w:tc>
      </w:tr>
      <w:tr>
        <w:tblPrEx>
          <w:shd w:val="clear" w:color="auto" w:fill="ced7e7"/>
        </w:tblPrEx>
        <w:trPr>
          <w:trHeight w:val="698" w:hRule="atLeast"/>
        </w:trPr>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20"/>
                <w:szCs w:val="20"/>
                <w:u w:color="000000"/>
                <w:shd w:val="nil" w:color="auto" w:fill="auto"/>
                <w:rtl w:val="0"/>
                <w:lang w:val="en-US"/>
              </w:rPr>
              <w:t>Phase 1</w:t>
            </w:r>
          </w:p>
        </w:tc>
        <w:tc>
          <w:tcPr>
            <w:tcW w:type="dxa" w:w="4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sz w:val="20"/>
                <w:szCs w:val="20"/>
                <w:u w:color="000000"/>
                <w:shd w:val="nil" w:color="auto" w:fill="auto"/>
                <w:rtl w:val="0"/>
                <w:lang w:val="en-US"/>
              </w:rPr>
              <w:t>Theoretical formalization of USE, HCAA, and ASG; mathematical proofs</w:t>
            </w:r>
          </w:p>
        </w:tc>
        <w:tc>
          <w:tcPr>
            <w:tcW w:type="dxa" w:w="3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20"/>
                <w:szCs w:val="20"/>
                <w:u w:color="000000"/>
                <w:shd w:val="nil" w:color="auto" w:fill="auto"/>
                <w:rtl w:val="0"/>
                <w:lang w:val="fr-FR"/>
              </w:rPr>
              <w:t>Architecture specification document</w:t>
            </w:r>
          </w:p>
        </w:tc>
      </w:tr>
      <w:tr>
        <w:tblPrEx>
          <w:shd w:val="clear" w:color="auto" w:fill="ced7e7"/>
        </w:tblPrEx>
        <w:trPr>
          <w:trHeight w:val="698" w:hRule="atLeast"/>
        </w:trPr>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20"/>
                <w:szCs w:val="20"/>
                <w:u w:color="000000"/>
                <w:shd w:val="nil" w:color="auto" w:fill="auto"/>
                <w:rtl w:val="0"/>
                <w:lang w:val="en-US"/>
              </w:rPr>
              <w:t>Phase 2</w:t>
            </w:r>
          </w:p>
        </w:tc>
        <w:tc>
          <w:tcPr>
            <w:tcW w:type="dxa" w:w="4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sz w:val="20"/>
                <w:szCs w:val="20"/>
                <w:u w:color="000000"/>
                <w:shd w:val="nil" w:color="auto" w:fill="auto"/>
                <w:rtl w:val="0"/>
                <w:lang w:val="en-US"/>
              </w:rPr>
              <w:t>Implementation in PyTorch; unit testing of each component</w:t>
            </w:r>
          </w:p>
        </w:tc>
        <w:tc>
          <w:tcPr>
            <w:tcW w:type="dxa" w:w="3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20"/>
                <w:szCs w:val="20"/>
                <w:u w:color="000000"/>
                <w:shd w:val="nil" w:color="auto" w:fill="auto"/>
                <w:rtl w:val="0"/>
                <w:lang w:val="en-US"/>
              </w:rPr>
              <w:t>Codebase (GitHub)</w:t>
            </w:r>
          </w:p>
        </w:tc>
      </w:tr>
      <w:tr>
        <w:tblPrEx>
          <w:shd w:val="clear" w:color="auto" w:fill="ced7e7"/>
        </w:tblPrEx>
        <w:trPr>
          <w:trHeight w:val="698" w:hRule="atLeast"/>
        </w:trPr>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20"/>
                <w:szCs w:val="20"/>
                <w:u w:color="000000"/>
                <w:shd w:val="nil" w:color="auto" w:fill="auto"/>
                <w:rtl w:val="0"/>
                <w:lang w:val="en-US"/>
              </w:rPr>
              <w:t>Phase 3</w:t>
            </w:r>
          </w:p>
        </w:tc>
        <w:tc>
          <w:tcPr>
            <w:tcW w:type="dxa" w:w="4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sz w:val="20"/>
                <w:szCs w:val="20"/>
                <w:u w:color="000000"/>
                <w:shd w:val="nil" w:color="auto" w:fill="auto"/>
                <w:rtl w:val="0"/>
                <w:lang w:val="en-US"/>
              </w:rPr>
              <w:t>Benchmark experiments on CIFAR-100, UCR TSC, AG News, RAVDESS</w:t>
            </w:r>
          </w:p>
        </w:tc>
        <w:tc>
          <w:tcPr>
            <w:tcW w:type="dxa" w:w="3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20"/>
                <w:szCs w:val="20"/>
                <w:u w:color="000000"/>
                <w:shd w:val="nil" w:color="auto" w:fill="auto"/>
                <w:rtl w:val="0"/>
                <w:lang w:val="en-US"/>
              </w:rPr>
              <w:t>Results tables and ablation studies</w:t>
            </w:r>
          </w:p>
        </w:tc>
      </w:tr>
      <w:tr>
        <w:tblPrEx>
          <w:shd w:val="clear" w:color="auto" w:fill="ced7e7"/>
        </w:tblPrEx>
        <w:trPr>
          <w:trHeight w:val="698" w:hRule="atLeast"/>
        </w:trPr>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20"/>
                <w:szCs w:val="20"/>
                <w:u w:color="000000"/>
                <w:shd w:val="nil" w:color="auto" w:fill="auto"/>
                <w:rtl w:val="0"/>
                <w:lang w:val="en-US"/>
              </w:rPr>
              <w:t>Phase 4</w:t>
            </w:r>
          </w:p>
        </w:tc>
        <w:tc>
          <w:tcPr>
            <w:tcW w:type="dxa" w:w="4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sz w:val="20"/>
                <w:szCs w:val="20"/>
                <w:u w:color="000000"/>
                <w:shd w:val="nil" w:color="auto" w:fill="auto"/>
                <w:rtl w:val="0"/>
                <w:lang w:val="en-US"/>
              </w:rPr>
              <w:t>SHAP integration, interpretability evaluation, expert validation</w:t>
            </w:r>
          </w:p>
        </w:tc>
        <w:tc>
          <w:tcPr>
            <w:tcW w:type="dxa" w:w="3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20"/>
                <w:szCs w:val="20"/>
                <w:u w:color="000000"/>
                <w:shd w:val="nil" w:color="auto" w:fill="auto"/>
                <w:rtl w:val="0"/>
                <w:lang w:val="en-US"/>
              </w:rPr>
              <w:t>Interpretability report</w:t>
            </w:r>
          </w:p>
        </w:tc>
      </w:tr>
      <w:tr>
        <w:tblPrEx>
          <w:shd w:val="clear" w:color="auto" w:fill="ced7e7"/>
        </w:tblPrEx>
        <w:trPr>
          <w:trHeight w:val="698" w:hRule="atLeast"/>
        </w:trPr>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20"/>
                <w:szCs w:val="20"/>
                <w:u w:color="000000"/>
                <w:shd w:val="nil" w:color="auto" w:fill="auto"/>
                <w:rtl w:val="0"/>
                <w:lang w:val="en-US"/>
              </w:rPr>
              <w:t>Phase 5</w:t>
            </w:r>
          </w:p>
        </w:tc>
        <w:tc>
          <w:tcPr>
            <w:tcW w:type="dxa" w:w="4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sz w:val="20"/>
                <w:szCs w:val="20"/>
                <w:u w:color="000000"/>
                <w:shd w:val="nil" w:color="auto" w:fill="auto"/>
                <w:rtl w:val="0"/>
                <w:lang w:val="en-US"/>
              </w:rPr>
              <w:t>Paper writing, peer review, open-source release</w:t>
            </w:r>
          </w:p>
        </w:tc>
        <w:tc>
          <w:tcPr>
            <w:tcW w:type="dxa" w:w="3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20"/>
                <w:szCs w:val="20"/>
                <w:u w:color="000000"/>
                <w:shd w:val="nil" w:color="auto" w:fill="auto"/>
                <w:rtl w:val="0"/>
                <w:lang w:val="en-US"/>
              </w:rPr>
              <w:t>Submitted journal article</w:t>
            </w:r>
          </w:p>
        </w:tc>
      </w:tr>
    </w:tbl>
    <w:p>
      <w:pPr>
        <w:pStyle w:val="Heading 2"/>
        <w:widowControl w:val="0"/>
      </w:pPr>
    </w:p>
    <w:p>
      <w:pPr>
        <w:pStyle w:val="Heading 2"/>
        <w:widowControl w:val="0"/>
      </w:pPr>
    </w:p>
    <w:p>
      <w:pPr>
        <w:pStyle w:val="Heading"/>
        <w:pBdr>
          <w:top w:val="nil"/>
          <w:left w:val="nil"/>
          <w:bottom w:val="single" w:color="2e75b6" w:sz="6" w:space="0" w:shadow="0" w:frame="0"/>
          <w:right w:val="nil"/>
        </w:pBdr>
      </w:pPr>
      <w:r>
        <w:rPr>
          <w:outline w:val="0"/>
          <w:color w:val="1f4e79"/>
          <w:u w:color="1f4e79"/>
          <w:rtl w:val="0"/>
          <w:lang w:val="fr-FR"/>
          <w14:textFill>
            <w14:solidFill>
              <w14:srgbClr w14:val="1F4E79"/>
            </w14:solidFill>
          </w14:textFill>
        </w:rPr>
        <w:t>7. Unique Contributions</w:t>
      </w:r>
    </w:p>
    <w:p>
      <w:pPr>
        <w:pStyle w:val="List Paragraph"/>
        <w:numPr>
          <w:ilvl w:val="0"/>
          <w:numId w:val="2"/>
        </w:numPr>
        <w:spacing w:before="60" w:after="60"/>
        <w:rPr>
          <w:sz w:val="22"/>
          <w:szCs w:val="22"/>
          <w:lang w:val="en-US"/>
        </w:rPr>
      </w:pPr>
      <w:r>
        <w:rPr>
          <w:rFonts w:ascii="Arial" w:hAnsi="Arial"/>
          <w:sz w:val="22"/>
          <w:szCs w:val="22"/>
          <w:rtl w:val="0"/>
          <w:lang w:val="en-US"/>
        </w:rPr>
        <w:t xml:space="preserve">First unified pattern recognition framework treating all modalities as spatiotemporal signals via a learnable wavelet embedding </w:t>
      </w:r>
      <w:r>
        <w:rPr>
          <w:rFonts w:ascii="Arial" w:hAnsi="Arial" w:hint="default"/>
          <w:sz w:val="22"/>
          <w:szCs w:val="22"/>
          <w:rtl w:val="0"/>
          <w:lang w:val="en-US"/>
        </w:rPr>
        <w:t xml:space="preserve">— </w:t>
      </w:r>
      <w:r>
        <w:rPr>
          <w:rFonts w:ascii="Arial" w:hAnsi="Arial"/>
          <w:sz w:val="22"/>
          <w:szCs w:val="22"/>
          <w:rtl w:val="0"/>
          <w:lang w:val="en-US"/>
        </w:rPr>
        <w:t>eliminating the need for domain-specific preprocessing pipelines.</w:t>
      </w:r>
    </w:p>
    <w:p>
      <w:pPr>
        <w:pStyle w:val="List Paragraph"/>
        <w:numPr>
          <w:ilvl w:val="0"/>
          <w:numId w:val="2"/>
        </w:numPr>
        <w:spacing w:before="60" w:after="60"/>
        <w:rPr>
          <w:sz w:val="22"/>
          <w:szCs w:val="22"/>
          <w:lang w:val="en-US"/>
        </w:rPr>
      </w:pPr>
      <w:r>
        <w:rPr>
          <w:rFonts w:ascii="Arial" w:hAnsi="Arial"/>
          <w:sz w:val="22"/>
          <w:szCs w:val="22"/>
          <w:rtl w:val="0"/>
          <w:lang w:val="en-US"/>
        </w:rPr>
        <w:t xml:space="preserve">Novel Hierarchical Conflict-Aware Attention (HCAA) mechanism with Fisher-weighted conflict resolution </w:t>
      </w:r>
      <w:r>
        <w:rPr>
          <w:rFonts w:ascii="Arial" w:hAnsi="Arial" w:hint="default"/>
          <w:sz w:val="22"/>
          <w:szCs w:val="22"/>
          <w:rtl w:val="0"/>
          <w:lang w:val="en-US"/>
        </w:rPr>
        <w:t xml:space="preserve">— </w:t>
      </w:r>
      <w:r>
        <w:rPr>
          <w:rFonts w:ascii="Arial" w:hAnsi="Arial"/>
          <w:sz w:val="22"/>
          <w:szCs w:val="22"/>
          <w:rtl w:val="0"/>
          <w:lang w:val="en-US"/>
        </w:rPr>
        <w:t>a direct generalization of continual learning gradient conflict techniques to pattern recognition.</w:t>
      </w:r>
    </w:p>
    <w:p>
      <w:pPr>
        <w:pStyle w:val="List Paragraph"/>
        <w:numPr>
          <w:ilvl w:val="0"/>
          <w:numId w:val="2"/>
        </w:numPr>
        <w:spacing w:before="60" w:after="60"/>
        <w:rPr>
          <w:sz w:val="22"/>
          <w:szCs w:val="22"/>
          <w:lang w:val="en-US"/>
        </w:rPr>
      </w:pPr>
      <w:r>
        <w:rPr>
          <w:rFonts w:ascii="Arial" w:hAnsi="Arial"/>
          <w:sz w:val="22"/>
          <w:szCs w:val="22"/>
          <w:rtl w:val="0"/>
          <w:lang w:val="en-US"/>
        </w:rPr>
        <w:t xml:space="preserve">Input-conditioned Adaptive Sparsity Gate (ASG) enabling variable-cost inference without retraining </w:t>
      </w:r>
      <w:r>
        <w:rPr>
          <w:rFonts w:ascii="Arial" w:hAnsi="Arial" w:hint="default"/>
          <w:sz w:val="22"/>
          <w:szCs w:val="22"/>
          <w:rtl w:val="0"/>
          <w:lang w:val="en-US"/>
        </w:rPr>
        <w:t xml:space="preserve">— </w:t>
      </w:r>
      <w:r>
        <w:rPr>
          <w:rFonts w:ascii="Arial" w:hAnsi="Arial"/>
          <w:sz w:val="22"/>
          <w:szCs w:val="22"/>
          <w:rtl w:val="0"/>
          <w:lang w:val="en-US"/>
        </w:rPr>
        <w:t>enabling deployment in resource-constrained settings.</w:t>
      </w:r>
    </w:p>
    <w:p>
      <w:pPr>
        <w:pStyle w:val="List Paragraph"/>
        <w:numPr>
          <w:ilvl w:val="0"/>
          <w:numId w:val="2"/>
        </w:numPr>
        <w:spacing w:before="60" w:after="60"/>
        <w:rPr>
          <w:sz w:val="22"/>
          <w:szCs w:val="22"/>
          <w:lang w:val="en-US"/>
        </w:rPr>
      </w:pPr>
      <w:r>
        <w:rPr>
          <w:rFonts w:ascii="Arial" w:hAnsi="Arial"/>
          <w:sz w:val="22"/>
          <w:szCs w:val="22"/>
          <w:rtl w:val="0"/>
          <w:lang w:val="en-US"/>
        </w:rPr>
        <w:t>Built-in SHAP-compatible interpretability via frequency-context manifold attribution, providing transparent explanations across all supported modalities.</w:t>
      </w:r>
    </w:p>
    <w:p>
      <w:pPr>
        <w:pStyle w:val="List Paragraph"/>
        <w:numPr>
          <w:ilvl w:val="0"/>
          <w:numId w:val="2"/>
        </w:numPr>
        <w:spacing w:before="60" w:after="60"/>
        <w:rPr>
          <w:sz w:val="22"/>
          <w:szCs w:val="22"/>
          <w:lang w:val="en-US"/>
        </w:rPr>
      </w:pPr>
      <w:r>
        <w:rPr>
          <w:rFonts w:ascii="Arial" w:hAnsi="Arial"/>
          <w:sz w:val="22"/>
          <w:szCs w:val="22"/>
          <w:rtl w:val="0"/>
          <w:lang w:val="en-US"/>
        </w:rPr>
        <w:t>Empirical validation across four domains on standard benchmarks, with ablation studies isolating each component's contribution.</w:t>
      </w:r>
    </w:p>
    <w:p>
      <w:pPr>
        <w:pStyle w:val="List Paragraph"/>
        <w:numPr>
          <w:ilvl w:val="0"/>
          <w:numId w:val="2"/>
        </w:numPr>
        <w:spacing w:before="60" w:after="60"/>
        <w:rPr>
          <w:sz w:val="22"/>
          <w:szCs w:val="22"/>
          <w:lang w:val="en-US"/>
        </w:rPr>
      </w:pPr>
      <w:r>
        <w:rPr>
          <w:rFonts w:ascii="Arial" w:hAnsi="Arial"/>
          <w:sz w:val="22"/>
          <w:szCs w:val="22"/>
          <w:rtl w:val="0"/>
          <w:lang w:val="en-US"/>
        </w:rPr>
        <w:t>Explicit connection to prior continual learning work (MEWC-LLM / CATP), establishing a coherent research thread from pattern conflict in sequential learning to pattern conflict in cross-domain recognition.</w:t>
      </w:r>
    </w:p>
    <w:p>
      <w:pPr>
        <w:pStyle w:val="List Paragraph"/>
        <w:spacing w:before="60" w:after="60"/>
      </w:pPr>
    </w:p>
    <w:p>
      <w:pPr>
        <w:pStyle w:val="Heading"/>
        <w:pBdr>
          <w:top w:val="nil"/>
          <w:left w:val="nil"/>
          <w:bottom w:val="single" w:color="2e75b6" w:sz="6" w:space="0" w:shadow="0" w:frame="0"/>
          <w:right w:val="nil"/>
        </w:pBdr>
      </w:pPr>
      <w:r>
        <w:rPr>
          <w:outline w:val="0"/>
          <w:color w:val="1f4e79"/>
          <w:u w:color="1f4e79"/>
          <w:rtl w:val="0"/>
          <w:lang w:val="en-US"/>
          <w14:textFill>
            <w14:solidFill>
              <w14:srgbClr w14:val="1F4E79"/>
            </w14:solidFill>
          </w14:textFill>
        </w:rPr>
        <w:t>8. Outcomes and Impact</w:t>
      </w:r>
    </w:p>
    <w:p>
      <w:pPr>
        <w:pStyle w:val="Heading 2"/>
      </w:pPr>
      <w:r>
        <w:rPr>
          <w:outline w:val="0"/>
          <w:color w:val="2e75b6"/>
          <w:u w:color="2e75b6"/>
          <w:rtl w:val="0"/>
          <w:lang w:val="en-US"/>
          <w14:textFill>
            <w14:solidFill>
              <w14:srgbClr w14:val="2E75B6"/>
            </w14:solidFill>
          </w14:textFill>
        </w:rPr>
        <w:t>8.1 Academic Outputs</w:t>
      </w:r>
    </w:p>
    <w:p>
      <w:pPr>
        <w:pStyle w:val="List Paragraph"/>
        <w:numPr>
          <w:ilvl w:val="0"/>
          <w:numId w:val="2"/>
        </w:numPr>
        <w:spacing w:before="60" w:after="60"/>
        <w:rPr>
          <w:sz w:val="22"/>
          <w:szCs w:val="22"/>
          <w:lang w:val="en-US"/>
        </w:rPr>
      </w:pPr>
      <w:r>
        <w:rPr>
          <w:rFonts w:ascii="Arial" w:hAnsi="Arial"/>
          <w:sz w:val="22"/>
          <w:szCs w:val="22"/>
          <w:rtl w:val="0"/>
          <w:lang w:val="en-US"/>
        </w:rPr>
        <w:t>Primary journal paper targeting IEEE Transactions on Pattern Analysis and Machine Intelligence (TPAMI) or Pattern Recognition (Elsevier, Q1).</w:t>
      </w:r>
    </w:p>
    <w:p>
      <w:pPr>
        <w:pStyle w:val="List Paragraph"/>
        <w:numPr>
          <w:ilvl w:val="0"/>
          <w:numId w:val="2"/>
        </w:numPr>
        <w:spacing w:before="60" w:after="60"/>
        <w:rPr>
          <w:sz w:val="22"/>
          <w:szCs w:val="22"/>
          <w:lang w:val="en-US"/>
        </w:rPr>
      </w:pPr>
      <w:r>
        <w:rPr>
          <w:rFonts w:ascii="Arial" w:hAnsi="Arial"/>
          <w:sz w:val="22"/>
          <w:szCs w:val="22"/>
          <w:rtl w:val="0"/>
          <w:lang w:val="en-US"/>
        </w:rPr>
        <w:t>Conference paper at CVPR, NeurIPS, or ICLR presenting core HCAA mechanism.</w:t>
      </w:r>
    </w:p>
    <w:p>
      <w:pPr>
        <w:pStyle w:val="List Paragraph"/>
        <w:numPr>
          <w:ilvl w:val="0"/>
          <w:numId w:val="2"/>
        </w:numPr>
        <w:spacing w:before="60" w:after="60"/>
        <w:rPr>
          <w:sz w:val="22"/>
          <w:szCs w:val="22"/>
          <w:lang w:val="en-US"/>
        </w:rPr>
      </w:pPr>
      <w:r>
        <w:rPr>
          <w:rFonts w:ascii="Arial" w:hAnsi="Arial"/>
          <w:sz w:val="22"/>
          <w:szCs w:val="22"/>
          <w:rtl w:val="0"/>
          <w:lang w:val="en-US"/>
        </w:rPr>
        <w:t>Open-source PyTorch implementation with documentation on GitHub.</w:t>
      </w:r>
    </w:p>
    <w:p>
      <w:pPr>
        <w:pStyle w:val="Heading 2"/>
      </w:pPr>
      <w:r>
        <w:rPr>
          <w:outline w:val="0"/>
          <w:color w:val="2e75b6"/>
          <w:u w:color="2e75b6"/>
          <w:rtl w:val="0"/>
          <w14:textFill>
            <w14:solidFill>
              <w14:srgbClr w14:val="2E75B6"/>
            </w14:solidFill>
          </w14:textFill>
        </w:rPr>
        <w:t>8.2 Practical Impact</w:t>
      </w:r>
    </w:p>
    <w:p>
      <w:pPr>
        <w:pStyle w:val="Heading 2"/>
      </w:pPr>
      <w:r>
        <w:rPr>
          <w:outline w:val="0"/>
          <w:color w:val="000000"/>
          <w:sz w:val="22"/>
          <w:szCs w:val="22"/>
          <w:u w:color="000000"/>
          <w:rtl w:val="0"/>
          <w:lang w:val="en-US"/>
          <w14:textFill>
            <w14:solidFill>
              <w14:srgbClr w14:val="000000"/>
            </w14:solidFill>
          </w14:textFill>
        </w:rPr>
        <w:t xml:space="preserve">HTSPF has direct applicability to several real-world domains including healthcare (cross-modal diagnostic pattern recognition), smart agriculture (multi-sensor crop monitoring), fraud detection (sequential-behavioral pattern fusion), and educational technology (multimodal student engagement analysis). In the Bangladesh context, the lightweight inference mode enables deployment on resource-constrained hardware without cloud dependency </w:t>
      </w:r>
      <w:r>
        <w:rPr>
          <w:outline w:val="0"/>
          <w:color w:val="000000"/>
          <w:sz w:val="22"/>
          <w:szCs w:val="22"/>
          <w:u w:color="000000"/>
          <w:rtl w:val="0"/>
          <w:lang w:val="en-US"/>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a critical consideration for equitable AI access.</w:t>
      </w:r>
    </w:p>
    <w:p>
      <w:pPr>
        <w:pStyle w:val="Heading 2"/>
      </w:pPr>
      <w:r>
        <w:rPr>
          <w:outline w:val="0"/>
          <w:color w:val="2e75b6"/>
          <w:u w:color="2e75b6"/>
          <w:rtl w:val="0"/>
          <w:lang w:val="en-US"/>
          <w14:textFill>
            <w14:solidFill>
              <w14:srgbClr w14:val="2E75B6"/>
            </w14:solidFill>
          </w14:textFill>
        </w:rPr>
        <w:t>8.3 Strategic Research Impact</w:t>
      </w:r>
    </w:p>
    <w:p>
      <w:pPr>
        <w:pStyle w:val="Heading 2"/>
      </w:pPr>
      <w:r>
        <w:rPr>
          <w:outline w:val="0"/>
          <w:color w:val="000000"/>
          <w:sz w:val="22"/>
          <w:szCs w:val="22"/>
          <w:u w:color="000000"/>
          <w:rtl w:val="0"/>
          <w:lang w:val="en-US"/>
          <w14:textFill>
            <w14:solidFill>
              <w14:srgbClr w14:val="000000"/>
            </w14:solidFill>
          </w14:textFill>
        </w:rPr>
        <w:t>This work strengthens the researcher's PhD application portfolio by demonstrating mastery of theoretical foundations (signal processing, attention mechanisms), empirical rigor (multi-domain benchmarking), and cross-cutting innovation (connecting continual learning and pattern recognition). It directly supports the long-term research trajectory toward Mila/UdeM, where Prof. Irina Rish's group works at the frontier of generalization and continual learning.</w:t>
      </w:r>
    </w:p>
    <w:p>
      <w:pPr>
        <w:pStyle w:val="Heading 2"/>
      </w:pPr>
    </w:p>
    <w:p>
      <w:pPr>
        <w:pStyle w:val="Heading"/>
        <w:pBdr>
          <w:top w:val="nil"/>
          <w:left w:val="nil"/>
          <w:bottom w:val="single" w:color="2e75b6" w:sz="6" w:space="0" w:shadow="0" w:frame="0"/>
          <w:right w:val="nil"/>
        </w:pBdr>
      </w:pPr>
      <w:r>
        <w:rPr>
          <w:outline w:val="0"/>
          <w:color w:val="1f4e79"/>
          <w:u w:color="1f4e79"/>
          <w:rtl w:val="0"/>
          <w:lang w:val="it-IT"/>
          <w14:textFill>
            <w14:solidFill>
              <w14:srgbClr w14:val="1F4E79"/>
            </w14:solidFill>
          </w14:textFill>
        </w:rPr>
        <w:t>9. Conclusion</w:t>
      </w:r>
    </w:p>
    <w:p>
      <w:pPr>
        <w:pStyle w:val="Heading"/>
        <w:pBdr>
          <w:top w:val="nil"/>
          <w:left w:val="nil"/>
          <w:bottom w:val="single" w:color="2e75b6" w:sz="6" w:space="0" w:shadow="0" w:frame="0"/>
          <w:right w:val="nil"/>
        </w:pBdr>
      </w:pPr>
      <w:r>
        <w:rPr>
          <w:outline w:val="0"/>
          <w:color w:val="000000"/>
          <w:sz w:val="22"/>
          <w:szCs w:val="22"/>
          <w:u w:color="000000"/>
          <w:rtl w:val="0"/>
          <w:lang w:val="en-US"/>
          <w14:textFill>
            <w14:solidFill>
              <w14:srgbClr w14:val="000000"/>
            </w14:solidFill>
          </w14:textFill>
        </w:rPr>
        <w:t xml:space="preserve">Pattern recognition at the frontier of AI requires moving beyond domain-specific solutions toward unified frameworks capable of recognizing structure in any input modality. HTSPF addresses this challenge through three novel mechanisms </w:t>
      </w:r>
      <w:r>
        <w:rPr>
          <w:outline w:val="0"/>
          <w:color w:val="000000"/>
          <w:sz w:val="22"/>
          <w:szCs w:val="22"/>
          <w:u w:color="000000"/>
          <w:rtl w:val="0"/>
          <w:lang w:val="en-US"/>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 xml:space="preserve">Universal Signal Embedding, Hierarchical Conflict-Aware Attention, and Adaptive Sparsity Gate </w:t>
      </w:r>
      <w:r>
        <w:rPr>
          <w:outline w:val="0"/>
          <w:color w:val="000000"/>
          <w:sz w:val="22"/>
          <w:szCs w:val="22"/>
          <w:u w:color="000000"/>
          <w:rtl w:val="0"/>
          <w:lang w:val="en-US"/>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that together deliver accuracy, efficiency, robustness, and interpretability within a single coherent framework.</w:t>
      </w:r>
    </w:p>
    <w:p>
      <w:pPr>
        <w:pStyle w:val="Heading"/>
        <w:pBdr>
          <w:top w:val="nil"/>
          <w:left w:val="nil"/>
          <w:bottom w:val="single" w:color="2e75b6" w:sz="6" w:space="0" w:shadow="0" w:frame="0"/>
          <w:right w:val="nil"/>
        </w:pBdr>
      </w:pPr>
    </w:p>
    <w:p>
      <w:pPr>
        <w:pStyle w:val="Heading"/>
        <w:pBdr>
          <w:top w:val="nil"/>
          <w:left w:val="nil"/>
          <w:bottom w:val="single" w:color="2e75b6" w:sz="6" w:space="0" w:shadow="0" w:frame="0"/>
          <w:right w:val="nil"/>
        </w:pBdr>
      </w:pPr>
      <w:r>
        <w:rPr>
          <w:outline w:val="0"/>
          <w:color w:val="000000"/>
          <w:sz w:val="22"/>
          <w:szCs w:val="22"/>
          <w:u w:color="000000"/>
          <w:rtl w:val="0"/>
          <w:lang w:val="en-US"/>
          <w14:textFill>
            <w14:solidFill>
              <w14:srgbClr w14:val="000000"/>
            </w14:solidFill>
          </w14:textFill>
        </w:rPr>
        <w:t>The theoretical foundations are grounded in established signal processing and attention literature, while the conflict resolution mechanism represents a genuine innovation derived from the researcher's prior continual learning work. The experimental validation plan is rigorous and benchmarked against state-of-the-art baselines. HTSPF has the potential to become a reference framework for cross-domain pattern recognition, with practical impact in low-resource deployment environments and strategic impact on the researcher's international PhD trajectory.</w:t>
      </w:r>
    </w:p>
    <w:p>
      <w:pPr>
        <w:pStyle w:val="Heading"/>
        <w:pBdr>
          <w:top w:val="nil"/>
          <w:left w:val="nil"/>
          <w:bottom w:val="single" w:color="2e75b6" w:sz="6" w:space="0" w:shadow="0" w:frame="0"/>
          <w:right w:val="nil"/>
        </w:pBdr>
      </w:pPr>
    </w:p>
    <w:p>
      <w:pPr>
        <w:pStyle w:val="Heading"/>
        <w:pBdr>
          <w:top w:val="nil"/>
          <w:left w:val="nil"/>
          <w:bottom w:val="single" w:color="2e75b6" w:sz="6" w:space="0" w:shadow="0" w:frame="0"/>
          <w:right w:val="nil"/>
        </w:pBdr>
      </w:pPr>
      <w:r>
        <w:rPr>
          <w:outline w:val="0"/>
          <w:color w:val="1f4e79"/>
          <w:u w:color="1f4e79"/>
          <w:rtl w:val="0"/>
          <w:lang w:val="fr-FR"/>
          <w14:textFill>
            <w14:solidFill>
              <w14:srgbClr w14:val="1F4E79"/>
            </w14:solidFill>
          </w14:textFill>
        </w:rPr>
        <w:t>10. References</w:t>
      </w:r>
    </w:p>
    <w:p>
      <w:pPr>
        <w:pStyle w:val="Heading"/>
        <w:pBdr>
          <w:top w:val="nil"/>
          <w:left w:val="nil"/>
          <w:bottom w:val="single" w:color="2e75b6" w:sz="6" w:space="0" w:shadow="0" w:frame="0"/>
          <w:right w:val="nil"/>
        </w:pBdr>
      </w:pPr>
      <w:r>
        <w:rPr>
          <w:outline w:val="0"/>
          <w:color w:val="000000"/>
          <w:sz w:val="22"/>
          <w:szCs w:val="22"/>
          <w:u w:color="000000"/>
          <w:rtl w:val="0"/>
          <w:lang w:val="en-US"/>
          <w14:textFill>
            <w14:solidFill>
              <w14:srgbClr w14:val="000000"/>
            </w14:solidFill>
          </w14:textFill>
        </w:rPr>
        <w:t>[1] Krizhevsky, A., Sutskever, I., &amp; Hinton, G. E. (2012). ImageNet classification with deep convolutional neural networks. NeurIPS.</w:t>
      </w:r>
    </w:p>
    <w:p>
      <w:pPr>
        <w:pStyle w:val="Heading"/>
        <w:pBdr>
          <w:top w:val="nil"/>
          <w:left w:val="nil"/>
          <w:bottom w:val="single" w:color="2e75b6" w:sz="6" w:space="0" w:shadow="0" w:frame="0"/>
          <w:right w:val="nil"/>
        </w:pBdr>
      </w:pPr>
      <w:r>
        <w:rPr>
          <w:outline w:val="0"/>
          <w:color w:val="000000"/>
          <w:sz w:val="22"/>
          <w:szCs w:val="22"/>
          <w:u w:color="000000"/>
          <w:rtl w:val="0"/>
          <w:lang w:val="en-US"/>
          <w14:textFill>
            <w14:solidFill>
              <w14:srgbClr w14:val="000000"/>
            </w14:solidFill>
          </w14:textFill>
        </w:rPr>
        <w:t>[2] Vaswani, A., et al. (2017). Attention is all you need. NeurIPS.</w:t>
      </w:r>
    </w:p>
    <w:p>
      <w:pPr>
        <w:pStyle w:val="Heading"/>
        <w:pBdr>
          <w:top w:val="nil"/>
          <w:left w:val="nil"/>
          <w:bottom w:val="single" w:color="2e75b6" w:sz="6" w:space="0" w:shadow="0" w:frame="0"/>
          <w:right w:val="nil"/>
        </w:pBdr>
      </w:pPr>
      <w:r>
        <w:rPr>
          <w:outline w:val="0"/>
          <w:color w:val="000000"/>
          <w:sz w:val="22"/>
          <w:szCs w:val="22"/>
          <w:u w:color="000000"/>
          <w:rtl w:val="0"/>
          <w:lang w:val="en-US"/>
          <w14:textFill>
            <w14:solidFill>
              <w14:srgbClr w14:val="000000"/>
            </w14:solidFill>
          </w14:textFill>
        </w:rPr>
        <w:t>[3] Jaegle, A., et al. (2021). Perceiver: General perception with iterative attention. ICML.</w:t>
      </w:r>
    </w:p>
    <w:p>
      <w:pPr>
        <w:pStyle w:val="Heading"/>
        <w:pBdr>
          <w:top w:val="nil"/>
          <w:left w:val="nil"/>
          <w:bottom w:val="single" w:color="2e75b6" w:sz="6" w:space="0" w:shadow="0" w:frame="0"/>
          <w:right w:val="nil"/>
        </w:pBdr>
      </w:pPr>
      <w:r>
        <w:rPr>
          <w:outline w:val="0"/>
          <w:color w:val="000000"/>
          <w:sz w:val="22"/>
          <w:szCs w:val="22"/>
          <w:u w:color="000000"/>
          <w:rtl w:val="0"/>
          <w:lang w:val="en-US"/>
          <w14:textFill>
            <w14:solidFill>
              <w14:srgbClr w14:val="000000"/>
            </w14:solidFill>
          </w14:textFill>
        </w:rPr>
        <w:t>[4] Lu, J., et al. (2022). Unified-IO: A unified model for vision, language, and structured data. ICLR.</w:t>
      </w:r>
    </w:p>
    <w:p>
      <w:pPr>
        <w:pStyle w:val="Heading"/>
        <w:pBdr>
          <w:top w:val="nil"/>
          <w:left w:val="nil"/>
          <w:bottom w:val="single" w:color="2e75b6" w:sz="6" w:space="0" w:shadow="0" w:frame="0"/>
          <w:right w:val="nil"/>
        </w:pBdr>
      </w:pPr>
      <w:r>
        <w:rPr>
          <w:outline w:val="0"/>
          <w:color w:val="000000"/>
          <w:sz w:val="22"/>
          <w:szCs w:val="22"/>
          <w:u w:color="000000"/>
          <w:rtl w:val="0"/>
          <w:lang w:val="en-US"/>
          <w14:textFill>
            <w14:solidFill>
              <w14:srgbClr w14:val="000000"/>
            </w14:solidFill>
          </w14:textFill>
        </w:rPr>
        <w:t>[5] Kirkpatrick, J., et al. (2017). Overcoming catastrophic forgetting in neural networks. PNAS.</w:t>
      </w:r>
    </w:p>
    <w:p>
      <w:pPr>
        <w:pStyle w:val="Heading"/>
        <w:pBdr>
          <w:top w:val="nil"/>
          <w:left w:val="nil"/>
          <w:bottom w:val="single" w:color="2e75b6" w:sz="6" w:space="0" w:shadow="0" w:frame="0"/>
          <w:right w:val="nil"/>
        </w:pBdr>
      </w:pPr>
      <w:r>
        <w:rPr>
          <w:outline w:val="0"/>
          <w:color w:val="000000"/>
          <w:sz w:val="22"/>
          <w:szCs w:val="22"/>
          <w:u w:color="000000"/>
          <w:rtl w:val="0"/>
          <w:lang w:val="it-IT"/>
          <w14:textFill>
            <w14:solidFill>
              <w14:srgbClr w14:val="000000"/>
            </w14:solidFill>
          </w14:textFill>
        </w:rPr>
        <w:t>[6] Lopez-Paz, D., &amp; Ranzato, M. (2017). Gradient episodic memory for continual learning. NeurIPS.</w:t>
      </w:r>
    </w:p>
    <w:p>
      <w:pPr>
        <w:pStyle w:val="Heading"/>
        <w:pBdr>
          <w:top w:val="nil"/>
          <w:left w:val="nil"/>
          <w:bottom w:val="single" w:color="2e75b6" w:sz="6" w:space="0" w:shadow="0" w:frame="0"/>
          <w:right w:val="nil"/>
        </w:pBdr>
      </w:pPr>
      <w:r>
        <w:rPr>
          <w:outline w:val="0"/>
          <w:color w:val="000000"/>
          <w:sz w:val="22"/>
          <w:szCs w:val="22"/>
          <w:u w:color="000000"/>
          <w:rtl w:val="0"/>
          <w:lang w:val="en-US"/>
          <w14:textFill>
            <w14:solidFill>
              <w14:srgbClr w14:val="000000"/>
            </w14:solidFill>
          </w14:textFill>
        </w:rPr>
        <w:t>[7] Lundberg, S. M., &amp; Lee, S. I. (2017). A unified approach to interpreting model predictions. NeurIPS.</w:t>
      </w:r>
    </w:p>
    <w:p>
      <w:pPr>
        <w:pStyle w:val="Heading"/>
        <w:pBdr>
          <w:top w:val="nil"/>
          <w:left w:val="nil"/>
          <w:bottom w:val="single" w:color="2e75b6" w:sz="6" w:space="0" w:shadow="0" w:frame="0"/>
          <w:right w:val="nil"/>
        </w:pBdr>
      </w:pPr>
      <w:r>
        <w:rPr>
          <w:outline w:val="0"/>
          <w:color w:val="000000"/>
          <w:sz w:val="22"/>
          <w:szCs w:val="22"/>
          <w:u w:color="000000"/>
          <w:rtl w:val="0"/>
          <w:lang w:val="en-US"/>
          <w14:textFill>
            <w14:solidFill>
              <w14:srgbClr w14:val="000000"/>
            </w14:solidFill>
          </w14:textFill>
        </w:rPr>
        <w:t>[8] Mallat, S. (1989). A theory for multiresolution signal decomposition: The wavelet representation. IEEE TPAMI.</w:t>
      </w:r>
    </w:p>
    <w:p>
      <w:pPr>
        <w:pStyle w:val="Heading"/>
        <w:pBdr>
          <w:top w:val="nil"/>
          <w:left w:val="nil"/>
          <w:bottom w:val="single" w:color="2e75b6" w:sz="6" w:space="0" w:shadow="0" w:frame="0"/>
          <w:right w:val="nil"/>
        </w:pBdr>
      </w:pPr>
      <w:r>
        <w:rPr>
          <w:outline w:val="0"/>
          <w:color w:val="000000"/>
          <w:sz w:val="22"/>
          <w:szCs w:val="22"/>
          <w:u w:color="000000"/>
          <w:rtl w:val="0"/>
          <w:lang w:val="en-US"/>
          <w14:textFill>
            <w14:solidFill>
              <w14:srgbClr w14:val="000000"/>
            </w14:solidFill>
          </w14:textFill>
        </w:rPr>
        <w:t>[9] Dosovitskiy, A., et al. (2021). An image is worth 16x16 words: Transformers for image recognition at scale. ICLR.</w:t>
      </w:r>
    </w:p>
    <w:p>
      <w:pPr>
        <w:pStyle w:val="Heading"/>
        <w:pBdr>
          <w:top w:val="nil"/>
          <w:left w:val="nil"/>
          <w:bottom w:val="single" w:color="2e75b6" w:sz="6" w:space="0" w:shadow="0" w:frame="0"/>
          <w:right w:val="nil"/>
        </w:pBdr>
      </w:pPr>
      <w:r>
        <w:rPr>
          <w:outline w:val="0"/>
          <w:color w:val="000000"/>
          <w:sz w:val="22"/>
          <w:szCs w:val="22"/>
          <w:u w:color="000000"/>
          <w:rtl w:val="0"/>
          <w:lang w:val="en-US"/>
          <w14:textFill>
            <w14:solidFill>
              <w14:srgbClr w14:val="000000"/>
            </w14:solidFill>
          </w14:textFill>
        </w:rPr>
        <w:t>[10] Hasan, M. M. (2025). MEWC-LLM: Multi-Expert Weight Consolidation for Continual Learning in Large Language Models. [Under Review].</w:t>
      </w:r>
    </w:p>
    <w:sectPr>
      <w:headerReference w:type="default" r:id="rId4"/>
      <w:footerReference w:type="default" r:id="rId5"/>
      <w:pgSz w:w="12240" w:h="15840" w:orient="portrait"/>
      <w:pgMar w:top="1440" w:right="1440" w:bottom="1440" w:left="1440"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mbr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rPr>
        <w:rFonts w:ascii="Arial" w:hAnsi="Arial"/>
        <w:outline w:val="0"/>
        <w:color w:val="888888"/>
        <w:sz w:val="18"/>
        <w:szCs w:val="18"/>
        <w:u w:color="888888"/>
        <w:rtl w:val="0"/>
        <w:lang w:val="de-DE"/>
        <w14:textFill>
          <w14:solidFill>
            <w14:srgbClr w14:val="888888"/>
          </w14:solidFill>
        </w14:textFill>
      </w:rPr>
      <w:t>Dhaka International University  |  meetmehedi1@gmail.com</w:t>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rPr>
        <w:rFonts w:ascii="Arial" w:hAnsi="Arial"/>
        <w:outline w:val="0"/>
        <w:color w:val="888888"/>
        <w:sz w:val="18"/>
        <w:szCs w:val="18"/>
        <w:u w:color="888888"/>
        <w:rtl w:val="0"/>
        <w:lang w:val="de-DE"/>
        <w14:textFill>
          <w14:solidFill>
            <w14:srgbClr w14:val="888888"/>
          </w14:solidFill>
        </w14:textFill>
      </w:rPr>
      <w:t>HTSPF Research Proposal  |  Md. Mehedi Hasan</w:t>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decimal"/>
      <w:suff w:val="tab"/>
      <w:lvlText w:val="%1."/>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1">
      <w:start w:val="1"/>
      <w:numFmt w:val="decimal"/>
      <w:suff w:val="tab"/>
      <w:lvlText w:val="%2."/>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2">
      <w:start w:val="1"/>
      <w:numFmt w:val="decimal"/>
      <w:suff w:val="tab"/>
      <w:lvlText w:val="%3."/>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3">
      <w:start w:val="1"/>
      <w:numFmt w:val="decimal"/>
      <w:suff w:val="tab"/>
      <w:lvlText w:val="%4."/>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4">
      <w:start w:val="1"/>
      <w:numFmt w:val="decimal"/>
      <w:suff w:val="tab"/>
      <w:lvlText w:val="%5."/>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5">
      <w:start w:val="1"/>
      <w:numFmt w:val="decimal"/>
      <w:suff w:val="tab"/>
      <w:lvlText w:val="%6."/>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6">
      <w:start w:val="1"/>
      <w:numFmt w:val="decimal"/>
      <w:suff w:val="tab"/>
      <w:lvlText w:val="%7."/>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7">
      <w:start w:val="1"/>
      <w:numFmt w:val="decimal"/>
      <w:suff w:val="tab"/>
      <w:lvlText w:val="%8."/>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8">
      <w:start w:val="1"/>
      <w:numFmt w:val="decimal"/>
      <w:suff w:val="tab"/>
      <w:lvlText w:val="%9."/>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de-D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de-DE"/>
      <w14:textOutline>
        <w14:noFill/>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paragraph" w:styleId="Heading">
    <w:name w:val="Heading"/>
    <w:next w:val="Heading"/>
    <w:pPr>
      <w:keepNext w:val="0"/>
      <w:keepLines w:val="0"/>
      <w:pageBreakBefore w:val="0"/>
      <w:widowControl w:val="1"/>
      <w:shd w:val="clear" w:color="auto" w:fill="auto"/>
      <w:suppressAutoHyphens w:val="0"/>
      <w:bidi w:val="0"/>
      <w:spacing w:before="360" w:after="160" w:line="240" w:lineRule="auto"/>
      <w:ind w:left="0" w:right="0" w:firstLine="0"/>
      <w:jc w:val="left"/>
      <w:outlineLvl w:val="0"/>
    </w:pPr>
    <w:rPr>
      <w:rFonts w:ascii="Arial" w:cs="Arial Unicode MS" w:hAnsi="Arial" w:eastAsia="Arial Unicode MS"/>
      <w:b w:val="1"/>
      <w:bCs w:val="1"/>
      <w:i w:val="0"/>
      <w:iCs w:val="0"/>
      <w:caps w:val="0"/>
      <w:smallCaps w:val="0"/>
      <w:strike w:val="0"/>
      <w:dstrike w:val="0"/>
      <w:outline w:val="0"/>
      <w:color w:val="1f4e79"/>
      <w:spacing w:val="0"/>
      <w:kern w:val="0"/>
      <w:position w:val="0"/>
      <w:sz w:val="32"/>
      <w:szCs w:val="32"/>
      <w:u w:val="none" w:color="1f4e79"/>
      <w:shd w:val="nil" w:color="auto" w:fill="auto"/>
      <w:vertAlign w:val="baseline"/>
      <w:lang w:val="fr-FR"/>
      <w14:textOutline>
        <w14:noFill/>
      </w14:textOutline>
      <w14:textFill>
        <w14:solidFill>
          <w14:srgbClr w14:val="1F4E79"/>
        </w14:solidFill>
      </w14:textFill>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 w:type="paragraph" w:styleId="Heading 2">
    <w:name w:val="Heading 2"/>
    <w:next w:val="Heading 2"/>
    <w:pPr>
      <w:keepNext w:val="0"/>
      <w:keepLines w:val="0"/>
      <w:pageBreakBefore w:val="0"/>
      <w:widowControl w:val="1"/>
      <w:shd w:val="clear" w:color="auto" w:fill="auto"/>
      <w:suppressAutoHyphens w:val="0"/>
      <w:bidi w:val="0"/>
      <w:spacing w:before="240" w:after="120" w:line="240" w:lineRule="auto"/>
      <w:ind w:left="0" w:right="0" w:firstLine="0"/>
      <w:jc w:val="left"/>
      <w:outlineLvl w:val="1"/>
    </w:pPr>
    <w:rPr>
      <w:rFonts w:ascii="Arial" w:cs="Arial Unicode MS" w:hAnsi="Arial" w:eastAsia="Arial Unicode MS"/>
      <w:b w:val="1"/>
      <w:bCs w:val="1"/>
      <w:i w:val="0"/>
      <w:iCs w:val="0"/>
      <w:caps w:val="0"/>
      <w:smallCaps w:val="0"/>
      <w:strike w:val="0"/>
      <w:dstrike w:val="0"/>
      <w:outline w:val="0"/>
      <w:color w:val="2e75b6"/>
      <w:spacing w:val="0"/>
      <w:kern w:val="0"/>
      <w:position w:val="0"/>
      <w:sz w:val="26"/>
      <w:szCs w:val="26"/>
      <w:u w:val="none" w:color="2e75b6"/>
      <w:shd w:val="nil" w:color="auto" w:fill="auto"/>
      <w:vertAlign w:val="baseline"/>
      <w:lang w:val="en-US"/>
      <w14:textOutline>
        <w14:noFill/>
      </w14:textOutline>
      <w14:textFill>
        <w14:solidFill>
          <w14:srgbClr w14:val="2E75B6"/>
        </w14:solidFill>
      </w14:textFill>
    </w:rPr>
  </w:style>
  <w:style w:type="numbering" w:styleId="Imported Style 2">
    <w:name w:val="Imported Style 2"/>
    <w:pPr>
      <w:numPr>
        <w:numId w:val="3"/>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