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caps/>
          <w:color w:val="888888"/>
          <w:spacing w:val="80"/>
          <w:sz w:val="20"/>
          <w:szCs w:val="20"/>
        </w:rPr>
        <w:t xml:space="preserve">RESEARCH PROPOSAL</w:t>
      </w:r>
    </w:p>
    <w:p>
      <w:pPr>
        <w:spacing w:after="0" w:before="40"/>
      </w:pPr>
      <w:r>
        <w:t xml:space="preserve"/>
      </w:r>
    </w:p>
    <w:p>
      <w:pPr>
        <w:spacing w:after="80" w:before="0"/>
        <w:jc w:val="center"/>
      </w:pPr>
      <w:r>
        <w:rPr>
          <w:rFonts w:ascii="Arial" w:cs="Arial" w:eastAsia="Arial" w:hAnsi="Arial"/>
          <w:b/>
          <w:bCs/>
          <w:color w:val="1F3864"/>
          <w:sz w:val="40"/>
          <w:szCs w:val="40"/>
        </w:rPr>
        <w:t xml:space="preserve">Towards an AI-Native Blockchain Framework:</w:t>
      </w:r>
    </w:p>
    <w:p>
      <w:pPr>
        <w:spacing w:after="240" w:before="0"/>
        <w:jc w:val="center"/>
      </w:pPr>
      <w:r>
        <w:rPr>
          <w:rFonts w:ascii="Arial" w:cs="Arial" w:eastAsia="Arial" w:hAnsi="Arial"/>
          <w:i/>
          <w:iCs/>
          <w:color w:val="2E75B6"/>
          <w:sz w:val="26"/>
          <w:szCs w:val="26"/>
        </w:rPr>
        <w:t xml:space="preserve">Integrating Proof of Useful Intelligence, Zero-Knowledge Machine Learning, and Post-Quantum Cryptography for Secure Decentralized Research Infrastructure</w:t>
      </w:r>
    </w:p>
    <w:p>
      <w:pPr>
        <w:pBdr>
          <w:bottom w:val="single" w:color="2E75B6" w:sz="12" w:space="1"/>
        </w:pBdr>
        <w:spacing w:after="240" w:before="0"/>
      </w:pPr>
      <w:r>
        <w:t xml:space="preserve"/>
      </w:r>
    </w:p>
    <w:p>
      <w:pPr>
        <w:spacing w:after="0" w:before="80"/>
      </w:pPr>
      <w:r>
        <w:t xml:space="preserve"/>
      </w:r>
    </w:p>
    <w:p>
      <w:pPr>
        <w:spacing w:after="60" w:before="0"/>
        <w:jc w:val="center"/>
      </w:pPr>
      <w:r>
        <w:rPr>
          <w:rFonts w:ascii="Arial" w:cs="Arial" w:eastAsia="Arial" w:hAnsi="Arial"/>
          <w:b/>
          <w:bCs/>
          <w:color w:val="1F3864"/>
          <w:sz w:val="22"/>
          <w:szCs w:val="22"/>
        </w:rPr>
        <w:t xml:space="preserve">Research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Role</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Name</w:t>
            </w:r>
          </w:p>
        </w:tc>
        <w:tc>
          <w:tcPr>
            <w:tcW w:type="dxa" w:w="43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Responsibility</w:t>
            </w:r>
          </w:p>
        </w:tc>
      </w:tr>
      <w:tr>
        <w:trPr>
          <w:tblHeader w:val="false"/>
        </w:trP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Principal Investigator</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Prof. Dr. Md. Abdul Based</w:t>
            </w:r>
          </w:p>
        </w:tc>
        <w:tc>
          <w:tcPr>
            <w:tcW w:type="dxa" w:w="4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Overall supervision, formal proofs review, journal submission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Team Lead / Member 5</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Md. Mehedi Hasan</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Architecture design, literature review, coordination, writing</w:t>
            </w:r>
          </w:p>
        </w:tc>
      </w:tr>
      <w:tr>
        <w:trPr>
          <w:tblHeader w:val="false"/>
        </w:trP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Member 1</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[Name]</w:t>
            </w:r>
          </w:p>
        </w:tc>
        <w:tc>
          <w:tcPr>
            <w:tcW w:type="dxa" w:w="4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Trust Score modeling, Python simulation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Member 2</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[Name]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ZKML security analysis, circuit constraints</w:t>
            </w:r>
          </w:p>
        </w:tc>
      </w:tr>
      <w:tr>
        <w:trPr>
          <w:tblHeader w:val="false"/>
        </w:trP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Member 3</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[Name]</w:t>
            </w:r>
          </w:p>
        </w:tc>
        <w:tc>
          <w:tcPr>
            <w:tcW w:type="dxa" w:w="4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PQC benchmarking, overhead analysis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Member 4</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[Name]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Co-design integration, layer interface contracts</w:t>
            </w:r>
          </w:p>
        </w:tc>
      </w:tr>
    </w:tbl>
    <w:p>
      <w:pPr>
        <w:spacing w:after="0" w:before="200"/>
      </w:pPr>
      <w:r>
        <w:t xml:space="preserve"/>
      </w:r>
    </w:p>
    <w:p>
      <w:pPr>
        <w:spacing w:after="40" w:before="0"/>
        <w:jc w:val="center"/>
      </w:pPr>
      <w:r>
        <w:rPr>
          <w:rFonts w:ascii="Arial" w:cs="Arial" w:eastAsia="Arial" w:hAnsi="Arial"/>
          <w:b/>
          <w:bCs/>
          <w:color w:val="1F3864"/>
          <w:sz w:val="22"/>
          <w:szCs w:val="22"/>
        </w:rPr>
        <w:t xml:space="preserve">Institutional Affiliation</w:t>
      </w:r>
    </w:p>
    <w:p>
      <w:pPr>
        <w:spacing w:after="40" w:before="0"/>
        <w:jc w:val="center"/>
      </w:pPr>
      <w:r>
        <w:rPr>
          <w:rFonts w:ascii="Arial" w:cs="Arial" w:eastAsia="Arial" w:hAnsi="Arial"/>
          <w:sz w:val="22"/>
          <w:szCs w:val="22"/>
        </w:rPr>
        <w:t xml:space="preserve">Department of Computer Science and Engineering</w:t>
      </w:r>
    </w:p>
    <w:p>
      <w:pPr>
        <w:spacing w:after="40" w:before="0"/>
        <w:jc w:val="center"/>
      </w:pPr>
      <w:r>
        <w:rPr>
          <w:rFonts w:ascii="Arial" w:cs="Arial" w:eastAsia="Arial" w:hAnsi="Arial"/>
          <w:b/>
          <w:bCs/>
          <w:sz w:val="22"/>
          <w:szCs w:val="22"/>
        </w:rPr>
        <w:t xml:space="preserve">Dhaka International University (DIU)</w:t>
      </w:r>
    </w:p>
    <w:p>
      <w:pPr>
        <w:spacing w:after="40" w:before="0"/>
        <w:jc w:val="center"/>
      </w:pPr>
      <w:r>
        <w:rPr>
          <w:rFonts w:ascii="Arial" w:cs="Arial" w:eastAsia="Arial" w:hAnsi="Arial"/>
          <w:color w:val="666666"/>
          <w:sz w:val="20"/>
          <w:szCs w:val="20"/>
        </w:rPr>
        <w:t xml:space="preserve">DIU Competitive Programming Club (DIU CPC) Research Group</w:t>
      </w:r>
    </w:p>
    <w:p>
      <w:pPr>
        <w:spacing w:after="0" w:before="80"/>
      </w:pPr>
      <w:r>
        <w:t xml:space="preserve"/>
      </w:r>
    </w:p>
    <w:p>
      <w:pPr>
        <w:spacing w:after="40" w:before="0"/>
        <w:jc w:val="center"/>
      </w:pPr>
      <w:r>
        <w:rPr>
          <w:rFonts w:ascii="Arial" w:cs="Arial" w:eastAsia="Arial" w:hAnsi="Arial"/>
          <w:color w:val="666666"/>
          <w:sz w:val="20"/>
          <w:szCs w:val="20"/>
        </w:rPr>
        <w:t xml:space="preserve">Submission Date: June 2026</w:t>
      </w:r>
    </w:p>
    <w:p>
      <w:pPr>
        <w:spacing w:after="40" w:before="0"/>
        <w:jc w:val="center"/>
      </w:pPr>
      <w:r>
        <w:rPr>
          <w:rFonts w:ascii="Arial" w:cs="Arial" w:eastAsia="Arial" w:hAnsi="Arial"/>
          <w:i/>
          <w:iCs/>
          <w:color w:val="666666"/>
          <w:sz w:val="20"/>
          <w:szCs w:val="20"/>
        </w:rPr>
        <w:t xml:space="preserve">Target Venue: Q1 Journal (IEEE TDSC / IEEE TIFS / TOPS)</w:t>
      </w:r>
    </w:p>
    <w:p>
      <w:pPr>
        <w:spacing w:after="40" w:before="0"/>
        <w:jc w:val="center"/>
      </w:pPr>
      <w:r>
        <w:rPr>
          <w:rFonts w:ascii="Arial" w:cs="Arial" w:eastAsia="Arial" w:hAnsi="Arial"/>
          <w:color w:val="666666"/>
          <w:sz w:val="20"/>
          <w:szCs w:val="20"/>
        </w:rPr>
        <w:t xml:space="preserve">Expected Duration: 12–15 Months</w:t>
      </w:r>
    </w:p>
    <w:p>
      <w:r>
        <w:br w:type="page"/>
      </w:r>
    </w:p>
    <w:p>
      <w:pPr>
        <w:pStyle w:val="Heading1"/>
        <w:pBdr>
          <w:bottom w:val="single" w:color="2E75B6" w:sz="6" w:space="4"/>
        </w:pBdr>
        <w:spacing w:after="120" w:before="360"/>
      </w:pPr>
      <w:r>
        <w:rPr>
          <w:rFonts w:ascii="Arial" w:cs="Arial" w:eastAsia="Arial" w:hAnsi="Arial"/>
          <w:b/>
          <w:bCs/>
          <w:color w:val="1F3864"/>
          <w:sz w:val="28"/>
          <w:szCs w:val="28"/>
        </w:rPr>
        <w:t xml:space="preserve">Executive Summary</w:t>
      </w:r>
    </w:p>
    <w:p>
      <w:pPr>
        <w:spacing w:after="80" w:before="80" w:line="360"/>
        <w:jc w:val="both"/>
      </w:pPr>
      <w:r>
        <w:rPr>
          <w:rFonts w:ascii="Arial" w:cs="Arial" w:eastAsia="Arial" w:hAnsi="Arial"/>
          <w:sz w:val="22"/>
          <w:szCs w:val="22"/>
        </w:rPr>
        <w:t xml:space="preserve">This proposal presents a research plan for designing, formalizing, and empirically validating an AI-Native Blockchain Framework — a novel Layer-0/Layer-1 protocol architecture built on three co-designed pillars: (1) Proof of Useful Intelligence (PoUI), a consensus mechanism that channels validator computation into productive AI tasks; (2) native Zero-Knowledge Machine Learning (ZKML) integration for privacy-preserving and verifiable AI inference; and (3) genesis-level Post-Quantum Cryptography (PQC) using NIST-standardized algorithms ML-DSA and ML-KEM.</w:t>
      </w:r>
    </w:p>
    <w:p>
      <w:pPr>
        <w:spacing w:after="0" w:before="60"/>
      </w:pPr>
      <w:r>
        <w:t xml:space="preserve"/>
      </w:r>
    </w:p>
    <w:p>
      <w:pPr>
        <w:spacing w:after="80" w:before="80" w:line="360"/>
        <w:jc w:val="both"/>
      </w:pPr>
      <w:r>
        <w:rPr>
          <w:rFonts w:ascii="Arial" w:cs="Arial" w:eastAsia="Arial" w:hAnsi="Arial"/>
          <w:sz w:val="22"/>
          <w:szCs w:val="22"/>
        </w:rPr>
        <w:t xml:space="preserve">The central thesis is that these three challenges — wasteful AI-agnostic consensus, insecure ZKML verification, and quantum-vulnerable cryptographic primitives — are not independent problems but a unified architectural gap. This work will contribute: a formal mathematical Trust Score model for PoUI-based validator selection; a rigorous security analysis of underconstrained ZKML circuit vulnerabilities; quantitative PQC overhead benchmarks in high-frequency AI consensus environments; and an architectural blueprint for co-designed integration of all three pillars. The target publication venue is a Q1 journal (IEEE Transactions on Dependable and Secure Computing or IEEE Transactions on Information Forensics and Security), with a 12–15 month execution timeline.</w:t>
      </w:r>
    </w:p>
    <w:p>
      <w:pPr>
        <w:spacing w:after="0" w:before="120"/>
      </w:pPr>
      <w:r>
        <w:t xml:space="preserve"/>
      </w:r>
    </w:p>
    <w:p>
      <w:pPr>
        <w:pStyle w:val="Heading1"/>
        <w:pBdr>
          <w:bottom w:val="single" w:color="2E75B6" w:sz="6" w:space="4"/>
        </w:pBdr>
        <w:spacing w:after="120" w:before="360"/>
      </w:pPr>
      <w:r>
        <w:rPr>
          <w:rFonts w:ascii="Arial" w:cs="Arial" w:eastAsia="Arial" w:hAnsi="Arial"/>
          <w:b/>
          <w:bCs/>
          <w:color w:val="1F3864"/>
          <w:sz w:val="28"/>
          <w:szCs w:val="28"/>
        </w:rPr>
        <w:t xml:space="preserve">1. Introduction and Motivation</w:t>
      </w:r>
    </w:p>
    <w:p>
      <w:pPr>
        <w:spacing w:after="80" w:before="80" w:line="360"/>
        <w:jc w:val="both"/>
      </w:pPr>
      <w:r>
        <w:rPr>
          <w:rFonts w:ascii="Arial" w:cs="Arial" w:eastAsia="Arial" w:hAnsi="Arial"/>
          <w:sz w:val="22"/>
          <w:szCs w:val="22"/>
        </w:rPr>
        <w:t xml:space="preserve">Blockchain technology has evolved from a narrow financial ledger into foundational infrastructure for decentralized computation, smart contract execution, and trustless coordination. Bitcoin's Proof of Work (PoW) established a landmark consensus model in 2008; Ethereum's subsequent transition to Proof of Stake (PoS) demonstrated that alternative validator selection strategies could dramatically reduce energy consumption while maintaining network security. Despite this evolution, contemporary blockchain frameworks remain fundamentally passive — they do not natively integrate artificial intelligence into their consensus or execution layers, and they were not designed to survive the cryptographic threat posed by quantum computing.</w:t>
      </w:r>
    </w:p>
    <w:p>
      <w:pPr>
        <w:spacing w:after="0" w:before="60"/>
      </w:pPr>
      <w:r>
        <w:t xml:space="preserve"/>
      </w:r>
    </w:p>
    <w:p>
      <w:pPr>
        <w:spacing w:after="80" w:before="80" w:line="360"/>
        <w:jc w:val="both"/>
      </w:pPr>
      <w:r>
        <w:rPr>
          <w:rFonts w:ascii="Arial" w:cs="Arial" w:eastAsia="Arial" w:hAnsi="Arial"/>
          <w:sz w:val="22"/>
          <w:szCs w:val="22"/>
        </w:rPr>
        <w:t xml:space="preserve">Three independently recognized research gaps now converge into a singular architectural opportunity. First, existing consensus mechanisms waste computational energy on tasks that produce no scientific or utilitarian value beyond network security. Second, while Zero-Knowledge Machine Learning (ZKML) offers a theoretical pathway for privacy-preserving AI verification on decentralized networks, current implementations remain fragmented, expensive, and vulnerable to underconstrained circuit attacks. Third, NIST finalized its first post-quantum cryptographic standards in 2024 — yet no Layer-0 or Layer-1 blockchain protocol has been architected from genesis using these standards, leaving every major network vulnerable to harvest-now-decrypt-later quantum attacks.</w:t>
      </w:r>
    </w:p>
    <w:p>
      <w:pPr>
        <w:spacing w:after="0" w:before="60"/>
      </w:pPr>
      <w:r>
        <w:t xml:space="preserve"/>
      </w:r>
    </w:p>
    <w:p>
      <w:pPr>
        <w:spacing w:after="80" w:before="80" w:line="360"/>
        <w:jc w:val="both"/>
      </w:pPr>
      <w:r>
        <w:rPr>
          <w:rFonts w:ascii="Arial" w:cs="Arial" w:eastAsia="Arial" w:hAnsi="Arial"/>
          <w:sz w:val="22"/>
          <w:szCs w:val="22"/>
        </w:rPr>
        <w:t xml:space="preserve">This research proposes to address all three gaps simultaneously through the co-design of an AI-native protocol architecture, rather than patching each problem independently onto legacy infrastructure. The co-design approach is the key novelty: interaction effects between PoUI consensus rounds, ZKML proof generation overhead, and PQC signature sizes have never been studied in a unified protocol context.</w:t>
      </w:r>
    </w:p>
    <w:p>
      <w:pPr>
        <w:spacing w:after="0" w:before="120"/>
      </w:pPr>
      <w:r>
        <w:t xml:space="preserve"/>
      </w:r>
    </w:p>
    <w:p>
      <w:pPr>
        <w:pStyle w:val="Heading1"/>
        <w:pBdr>
          <w:bottom w:val="single" w:color="2E75B6" w:sz="6" w:space="4"/>
        </w:pBdr>
        <w:spacing w:after="120" w:before="360"/>
      </w:pPr>
      <w:r>
        <w:rPr>
          <w:rFonts w:ascii="Arial" w:cs="Arial" w:eastAsia="Arial" w:hAnsi="Arial"/>
          <w:b/>
          <w:bCs/>
          <w:color w:val="1F3864"/>
          <w:sz w:val="28"/>
          <w:szCs w:val="28"/>
        </w:rPr>
        <w:t xml:space="preserve">2. Problem Statement</w:t>
      </w:r>
    </w:p>
    <w:p>
      <w:pPr>
        <w:pStyle w:val="Heading2"/>
        <w:spacing w:after="80" w:before="240"/>
      </w:pPr>
      <w:r>
        <w:rPr>
          <w:rFonts w:ascii="Arial" w:cs="Arial" w:eastAsia="Arial" w:hAnsi="Arial"/>
          <w:b/>
          <w:bCs/>
          <w:color w:val="2E75B6"/>
          <w:sz w:val="24"/>
          <w:szCs w:val="24"/>
        </w:rPr>
        <w:t xml:space="preserve">2.1 The Energy-Utility Mismatch in Consensus</w:t>
      </w:r>
    </w:p>
    <w:p>
      <w:pPr>
        <w:spacing w:after="80" w:before="80" w:line="360"/>
        <w:jc w:val="both"/>
      </w:pPr>
      <w:r>
        <w:rPr>
          <w:rFonts w:ascii="Arial" w:cs="Arial" w:eastAsia="Arial" w:hAnsi="Arial"/>
          <w:sz w:val="22"/>
          <w:szCs w:val="22"/>
        </w:rPr>
        <w:t xml:space="preserve">Proof of Work requires validators to expend computational energy solving arbitrary cryptographic puzzles that produce no scientific, social, or computational utility beyond network security. Proof of Stake eliminates this waste but replaces it with a capital-concentration model that introduces centralization risk through wealth-based validator selection. Neither mechanism channels network energy toward productive AI computation, despite rapidly growing global demand for decentralized AI inference. No existing PoUI implementation provides a formally proven mathematical model linking AI inference accuracy and latency to validator trust with resistance guarantees against gaming and Sybil attacks.</w:t>
      </w:r>
    </w:p>
    <w:p>
      <w:pPr>
        <w:pStyle w:val="Heading2"/>
        <w:spacing w:after="80" w:before="240"/>
      </w:pPr>
      <w:r>
        <w:rPr>
          <w:rFonts w:ascii="Arial" w:cs="Arial" w:eastAsia="Arial" w:hAnsi="Arial"/>
          <w:b/>
          <w:bCs/>
          <w:color w:val="2E75B6"/>
          <w:sz w:val="24"/>
          <w:szCs w:val="24"/>
        </w:rPr>
        <w:t xml:space="preserve">2.2 The ZKML Verification Gap</w:t>
      </w:r>
    </w:p>
    <w:p>
      <w:pPr>
        <w:spacing w:after="80" w:before="80" w:line="360"/>
        <w:jc w:val="both"/>
      </w:pPr>
      <w:r>
        <w:rPr>
          <w:rFonts w:ascii="Arial" w:cs="Arial" w:eastAsia="Arial" w:hAnsi="Arial"/>
          <w:sz w:val="22"/>
          <w:szCs w:val="22"/>
        </w:rPr>
        <w:t xml:space="preserve">Privacy-preserving AI on decentralized networks requires the ability to prove that a specific computation was performed correctly without disclosing underlying data or model weights. Current ZKML systems face three critical bottlenecks: limited circuit expressiveness that cannot represent complex neural architectures; high proving costs that make real-time verification economically infeasible; and underconstrained circuit vulnerabilities that allow malicious nodes to submit fabricated AI outputs accepted as mathematically valid by the verifier. No comprehensive taxonomy of underconstrained circuit attack vectors specific to ZKML inference in a blockchain validator context exists.</w:t>
      </w:r>
    </w:p>
    <w:p>
      <w:pPr>
        <w:pStyle w:val="Heading2"/>
        <w:spacing w:after="80" w:before="240"/>
      </w:pPr>
      <w:r>
        <w:rPr>
          <w:rFonts w:ascii="Arial" w:cs="Arial" w:eastAsia="Arial" w:hAnsi="Arial"/>
          <w:b/>
          <w:bCs/>
          <w:color w:val="2E75B6"/>
          <w:sz w:val="24"/>
          <w:szCs w:val="24"/>
        </w:rPr>
        <w:t xml:space="preserve">2.3 The Quantum Vulnerability of Existing Protocols</w:t>
      </w:r>
    </w:p>
    <w:p>
      <w:pPr>
        <w:spacing w:after="80" w:before="80" w:line="360"/>
        <w:jc w:val="both"/>
      </w:pPr>
      <w:r>
        <w:rPr>
          <w:rFonts w:ascii="Arial" w:cs="Arial" w:eastAsia="Arial" w:hAnsi="Arial"/>
          <w:sz w:val="22"/>
          <w:szCs w:val="22"/>
        </w:rPr>
        <w:t xml:space="preserve">All major blockchain networks rely on ECDSA and elliptic-curve Diffie-Hellman primitives that are theoretically breakable by Shor's algorithm on a sufficiently powerful quantum computer. The harvest-now-decrypt-later threat model means adversaries can capture encrypted blockchain data today and decrypt it retroactively once quantum hardware matures. Although NIST finalized ML-DSA, ML-KEM, and related algorithms in 2024, no published protocol design has benchmarked or architecturally mitigated the computational overhead of these standards in high-throughput AI-native consensus rounds. ML-DSA signatures are approximately 2,420 bytes versus ECDSA's 64 bytes — a 37x size increase whose impact on block propagation, storage, and consensus latency in AI-heavy workloads remains unquantified.</w:t>
      </w:r>
    </w:p>
    <w:p>
      <w:pPr>
        <w:pStyle w:val="Heading2"/>
        <w:spacing w:after="80" w:before="240"/>
      </w:pPr>
      <w:r>
        <w:rPr>
          <w:rFonts w:ascii="Arial" w:cs="Arial" w:eastAsia="Arial" w:hAnsi="Arial"/>
          <w:b/>
          <w:bCs/>
          <w:color w:val="2E75B6"/>
          <w:sz w:val="24"/>
          <w:szCs w:val="24"/>
        </w:rPr>
        <w:t xml:space="preserve">2.4 The Co-Design Interaction Gap</w:t>
      </w:r>
    </w:p>
    <w:p>
      <w:pPr>
        <w:spacing w:after="80" w:before="80" w:line="360"/>
        <w:jc w:val="both"/>
      </w:pPr>
      <w:r>
        <w:rPr>
          <w:rFonts w:ascii="Arial" w:cs="Arial" w:eastAsia="Arial" w:hAnsi="Arial"/>
          <w:sz w:val="22"/>
          <w:szCs w:val="22"/>
        </w:rPr>
        <w:t xml:space="preserve">No published research examines the co-design of PoUI, ZKML, and PQC as a unified protocol architecture. When these three systems interact — for example, when a ZKML proof must be attached to a PQC-signed PoUI consensus message — the combined overhead, security properties, and failure modes are entirely unstudied. This interaction gap is the most significant and novel problem this research addresses.</w:t>
      </w:r>
    </w:p>
    <w:p>
      <w:pPr>
        <w:spacing w:after="0" w:before="120"/>
      </w:pPr>
      <w:r>
        <w:t xml:space="preserve"/>
      </w:r>
    </w:p>
    <w:p>
      <w:pPr>
        <w:pStyle w:val="Heading1"/>
        <w:pBdr>
          <w:bottom w:val="single" w:color="2E75B6" w:sz="6" w:space="4"/>
        </w:pBdr>
        <w:spacing w:after="120" w:before="360"/>
      </w:pPr>
      <w:r>
        <w:rPr>
          <w:rFonts w:ascii="Arial" w:cs="Arial" w:eastAsia="Arial" w:hAnsi="Arial"/>
          <w:b/>
          <w:bCs/>
          <w:color w:val="1F3864"/>
          <w:sz w:val="28"/>
          <w:szCs w:val="28"/>
        </w:rPr>
        <w:t xml:space="preserve">3. Research Questions and Objectives</w:t>
      </w:r>
    </w:p>
    <w:p>
      <w:pPr>
        <w:pStyle w:val="Heading2"/>
        <w:spacing w:after="80" w:before="240"/>
      </w:pPr>
      <w:r>
        <w:rPr>
          <w:rFonts w:ascii="Arial" w:cs="Arial" w:eastAsia="Arial" w:hAnsi="Arial"/>
          <w:b/>
          <w:bCs/>
          <w:color w:val="2E75B6"/>
          <w:sz w:val="24"/>
          <w:szCs w:val="24"/>
        </w:rPr>
        <w:t xml:space="preserve">3.1 Primary Research Questions</w:t>
      </w:r>
    </w:p>
    <w:p>
      <w:pPr>
        <w:pStyle w:val="ListParagraph"/>
        <w:numPr>
          <w:ilvl w:val="0"/>
          <w:numId w:val="2"/>
        </w:numPr>
        <w:spacing w:after="60" w:before="60"/>
      </w:pPr>
      <w:r>
        <w:rPr>
          <w:rFonts w:ascii="Arial" w:cs="Arial" w:eastAsia="Arial" w:hAnsi="Arial"/>
          <w:sz w:val="22"/>
          <w:szCs w:val="22"/>
        </w:rPr>
        <w:t xml:space="preserve">RQ1: Can a single consensus mechanism simultaneously channel blockchain validator energy toward productive AI computation while maintaining Byzantine fault tolerance and liveness guarantees equivalent to existing PoW/PoS systems?</w:t>
      </w:r>
    </w:p>
    <w:p>
      <w:pPr>
        <w:pStyle w:val="ListParagraph"/>
        <w:numPr>
          <w:ilvl w:val="0"/>
          <w:numId w:val="2"/>
        </w:numPr>
        <w:spacing w:after="60" w:before="60"/>
      </w:pPr>
      <w:r>
        <w:rPr>
          <w:rFonts w:ascii="Arial" w:cs="Arial" w:eastAsia="Arial" w:hAnsi="Arial"/>
          <w:sz w:val="22"/>
          <w:szCs w:val="22"/>
        </w:rPr>
        <w:t xml:space="preserve">RQ2: What mathematical conditions must an AI inference circuit satisfy to eliminate underconstrained vulnerabilities, and how can these conditions be formally verified in the context of ZKML-based on-chain validator proofs?</w:t>
      </w:r>
    </w:p>
    <w:p>
      <w:pPr>
        <w:pStyle w:val="ListParagraph"/>
        <w:numPr>
          <w:ilvl w:val="0"/>
          <w:numId w:val="2"/>
        </w:numPr>
        <w:spacing w:after="60" w:before="60"/>
      </w:pPr>
      <w:r>
        <w:rPr>
          <w:rFonts w:ascii="Arial" w:cs="Arial" w:eastAsia="Arial" w:hAnsi="Arial"/>
          <w:sz w:val="22"/>
          <w:szCs w:val="22"/>
        </w:rPr>
        <w:t xml:space="preserve">RQ3: What is the quantifiable overhead (latency, throughput, signature size, block propagation delay) of integrating NIST-standardized PQC algorithms as genesis-level primitives in a new Layer-0 protocol operating under AI-intensive consensus rounds?</w:t>
      </w:r>
    </w:p>
    <w:p>
      <w:pPr>
        <w:spacing w:after="0" w:before="80"/>
      </w:pPr>
      <w:r>
        <w:t xml:space="preserve"/>
      </w:r>
    </w:p>
    <w:p>
      <w:pPr>
        <w:pStyle w:val="Heading2"/>
        <w:spacing w:after="80" w:before="240"/>
      </w:pPr>
      <w:r>
        <w:rPr>
          <w:rFonts w:ascii="Arial" w:cs="Arial" w:eastAsia="Arial" w:hAnsi="Arial"/>
          <w:b/>
          <w:bCs/>
          <w:color w:val="2E75B6"/>
          <w:sz w:val="24"/>
          <w:szCs w:val="24"/>
        </w:rPr>
        <w:t xml:space="preserve">3.2 Secondary Research Questions</w:t>
      </w:r>
    </w:p>
    <w:p>
      <w:pPr>
        <w:pStyle w:val="ListParagraph"/>
        <w:numPr>
          <w:ilvl w:val="0"/>
          <w:numId w:val="2"/>
        </w:numPr>
        <w:spacing w:after="60" w:before="60"/>
      </w:pPr>
      <w:r>
        <w:rPr>
          <w:rFonts w:ascii="Arial" w:cs="Arial" w:eastAsia="Arial" w:hAnsi="Arial"/>
          <w:sz w:val="22"/>
          <w:szCs w:val="22"/>
        </w:rPr>
        <w:t xml:space="preserve">RQ4: What mathematical model for a dynamic node Trust Score can optimally balance AI inference accuracy, computational latency, and uptime to produce a provably fair and manipulation-resistant validator selection function?</w:t>
      </w:r>
    </w:p>
    <w:p>
      <w:pPr>
        <w:pStyle w:val="ListParagraph"/>
        <w:numPr>
          <w:ilvl w:val="0"/>
          <w:numId w:val="2"/>
        </w:numPr>
        <w:spacing w:after="60" w:before="60"/>
      </w:pPr>
      <w:r>
        <w:rPr>
          <w:rFonts w:ascii="Arial" w:cs="Arial" w:eastAsia="Arial" w:hAnsi="Arial"/>
          <w:sz w:val="22"/>
          <w:szCs w:val="22"/>
        </w:rPr>
        <w:t xml:space="preserve">RQ5: How do the security properties of an AI-native protocol change when all three pillars — PoUI, ZKML, and PQC — are co-designed versus independently integrated into a legacy architecture?</w:t>
      </w:r>
    </w:p>
    <w:p>
      <w:pPr>
        <w:spacing w:after="0" w:before="80"/>
      </w:pPr>
      <w:r>
        <w:t xml:space="preserve"/>
      </w:r>
    </w:p>
    <w:p>
      <w:pPr>
        <w:pStyle w:val="Heading2"/>
        <w:spacing w:after="80" w:before="240"/>
      </w:pPr>
      <w:r>
        <w:rPr>
          <w:rFonts w:ascii="Arial" w:cs="Arial" w:eastAsia="Arial" w:hAnsi="Arial"/>
          <w:b/>
          <w:bCs/>
          <w:color w:val="2E75B6"/>
          <w:sz w:val="24"/>
          <w:szCs w:val="24"/>
        </w:rPr>
        <w:t xml:space="preserve">3.3 Research Objectives</w:t>
      </w:r>
    </w:p>
    <w:p>
      <w:pPr>
        <w:pStyle w:val="ListParagraph"/>
        <w:numPr>
          <w:ilvl w:val="0"/>
          <w:numId w:val="3"/>
        </w:numPr>
        <w:spacing w:after="60" w:before="60"/>
      </w:pPr>
      <w:r>
        <w:rPr>
          <w:rFonts w:ascii="Arial" w:cs="Arial" w:eastAsia="Arial" w:hAnsi="Arial"/>
          <w:sz w:val="22"/>
          <w:szCs w:val="22"/>
        </w:rPr>
        <w:t xml:space="preserve">Conduct a systematic literature review (PRISMA methodology, 60+ papers) across AI consensus, ZKML security, and PQC blockchain integration to produce a structured gap analysis.</w:t>
      </w:r>
    </w:p>
    <w:p>
      <w:pPr>
        <w:pStyle w:val="ListParagraph"/>
        <w:numPr>
          <w:ilvl w:val="0"/>
          <w:numId w:val="3"/>
        </w:numPr>
        <w:spacing w:after="60" w:before="60"/>
      </w:pPr>
      <w:r>
        <w:rPr>
          <w:rFonts w:ascii="Arial" w:cs="Arial" w:eastAsia="Arial" w:hAnsi="Arial"/>
          <w:sz w:val="22"/>
          <w:szCs w:val="22"/>
        </w:rPr>
        <w:t xml:space="preserve">Formalize the Trust Score function for PoUI-based consensus, deriving mathematical bounds on its resistance to gaming, collusion, and Sybil attacks via formal theorem-proof structure.</w:t>
      </w:r>
    </w:p>
    <w:p>
      <w:pPr>
        <w:pStyle w:val="ListParagraph"/>
        <w:numPr>
          <w:ilvl w:val="0"/>
          <w:numId w:val="3"/>
        </w:numPr>
        <w:spacing w:after="60" w:before="60"/>
      </w:pPr>
      <w:r>
        <w:rPr>
          <w:rFonts w:ascii="Arial" w:cs="Arial" w:eastAsia="Arial" w:hAnsi="Arial"/>
          <w:sz w:val="22"/>
          <w:szCs w:val="22"/>
        </w:rPr>
        <w:t xml:space="preserve">Implement and execute a Python simulation of N=100 nodes over T=1,000 epochs with three node classes (honest, high-latency, malicious) to empirically validate the Trust Score model.</w:t>
      </w:r>
    </w:p>
    <w:p>
      <w:pPr>
        <w:pStyle w:val="ListParagraph"/>
        <w:numPr>
          <w:ilvl w:val="0"/>
          <w:numId w:val="3"/>
        </w:numPr>
        <w:spacing w:after="60" w:before="60"/>
      </w:pPr>
      <w:r>
        <w:rPr>
          <w:rFonts w:ascii="Arial" w:cs="Arial" w:eastAsia="Arial" w:hAnsi="Arial"/>
          <w:sz w:val="22"/>
          <w:szCs w:val="22"/>
        </w:rPr>
        <w:t xml:space="preserve">Formally characterize underconstrained ZKML circuit vulnerabilities and define necessary and sufficient constraint conditions for circuit soundness in decentralized AI inference contexts.</w:t>
      </w:r>
    </w:p>
    <w:p>
      <w:pPr>
        <w:pStyle w:val="ListParagraph"/>
        <w:numPr>
          <w:ilvl w:val="0"/>
          <w:numId w:val="3"/>
        </w:numPr>
        <w:spacing w:after="60" w:before="60"/>
      </w:pPr>
      <w:r>
        <w:rPr>
          <w:rFonts w:ascii="Arial" w:cs="Arial" w:eastAsia="Arial" w:hAnsi="Arial"/>
          <w:sz w:val="22"/>
          <w:szCs w:val="22"/>
        </w:rPr>
        <w:t xml:space="preserve">Benchmark ML-DSA and ML-KEM overhead in simulated PoUI consensus rounds, quantifying the performance cost and proposing architectural mitigations.</w:t>
      </w:r>
    </w:p>
    <w:p>
      <w:pPr>
        <w:pStyle w:val="ListParagraph"/>
        <w:numPr>
          <w:ilvl w:val="0"/>
          <w:numId w:val="3"/>
        </w:numPr>
        <w:spacing w:after="60" w:before="60"/>
      </w:pPr>
      <w:r>
        <w:rPr>
          <w:rFonts w:ascii="Arial" w:cs="Arial" w:eastAsia="Arial" w:hAnsi="Arial"/>
          <w:sz w:val="22"/>
          <w:szCs w:val="22"/>
        </w:rPr>
        <w:t xml:space="preserve">Design a high-level architectural blueprint for the co-designed AI-native Layer-0/Layer-1 protocol, with formal interface contracts between each pillar.</w:t>
      </w:r>
    </w:p>
    <w:p>
      <w:pPr>
        <w:pStyle w:val="ListParagraph"/>
        <w:numPr>
          <w:ilvl w:val="0"/>
          <w:numId w:val="3"/>
        </w:numPr>
        <w:spacing w:after="60" w:before="60"/>
      </w:pPr>
      <w:r>
        <w:rPr>
          <w:rFonts w:ascii="Arial" w:cs="Arial" w:eastAsia="Arial" w:hAnsi="Arial"/>
          <w:sz w:val="22"/>
          <w:szCs w:val="22"/>
        </w:rPr>
        <w:t xml:space="preserve">Analyze the interaction effects of co-design (RQ5) both theoretically and through simulation comparison.</w:t>
      </w:r>
    </w:p>
    <w:p>
      <w:pPr>
        <w:spacing w:after="0" w:before="120"/>
      </w:pPr>
      <w:r>
        <w:t xml:space="preserve"/>
      </w:r>
    </w:p>
    <w:p>
      <w:pPr>
        <w:pStyle w:val="Heading1"/>
        <w:pBdr>
          <w:bottom w:val="single" w:color="2E75B6" w:sz="6" w:space="4"/>
        </w:pBdr>
        <w:spacing w:after="120" w:before="360"/>
      </w:pPr>
      <w:r>
        <w:rPr>
          <w:rFonts w:ascii="Arial" w:cs="Arial" w:eastAsia="Arial" w:hAnsi="Arial"/>
          <w:b/>
          <w:bCs/>
          <w:color w:val="1F3864"/>
          <w:sz w:val="28"/>
          <w:szCs w:val="28"/>
        </w:rPr>
        <w:t xml:space="preserve">4. Literature Review and Research Gaps</w:t>
      </w:r>
    </w:p>
    <w:p>
      <w:pPr>
        <w:pStyle w:val="Heading2"/>
        <w:spacing w:after="80" w:before="240"/>
      </w:pPr>
      <w:r>
        <w:rPr>
          <w:rFonts w:ascii="Arial" w:cs="Arial" w:eastAsia="Arial" w:hAnsi="Arial"/>
          <w:b/>
          <w:bCs/>
          <w:color w:val="2E75B6"/>
          <w:sz w:val="24"/>
          <w:szCs w:val="24"/>
        </w:rPr>
        <w:t xml:space="preserve">4.1 AI-Driven Consensus Mechanisms</w:t>
      </w:r>
    </w:p>
    <w:p>
      <w:pPr>
        <w:spacing w:after="80" w:before="80" w:line="360"/>
        <w:jc w:val="both"/>
      </w:pPr>
      <w:r>
        <w:rPr>
          <w:rFonts w:ascii="Arial" w:cs="Arial" w:eastAsia="Arial" w:hAnsi="Arial"/>
          <w:sz w:val="22"/>
          <w:szCs w:val="22"/>
        </w:rPr>
        <w:t xml:space="preserve">Chong et al. (2025) introduced Proof of Useful Intelligence (PoUI), demonstrating that validators executing AI-based tasks — natural language processing, image classification — can provide robust security while generating economically useful computation. An earlier foundational proposal introduced Proof of Useful Work, documenting mechanisms to reward verified ML task completion and punish malicious actors in decentralized networks. Industry implementations such as Bittensor have deployed intelligence-based consensus at production scale. A survey by Sengottaiyan and Jasrotia (2024) documents how machine learning can dynamically adapt block parameters to changing network conditions. Critical gap: none of these works provide a formally proven, manipulation-resistant validator trust model with mathematical convergence guarantees.</w:t>
      </w:r>
    </w:p>
    <w:p>
      <w:pPr>
        <w:pStyle w:val="Heading2"/>
        <w:spacing w:after="80" w:before="240"/>
      </w:pPr>
      <w:r>
        <w:rPr>
          <w:rFonts w:ascii="Arial" w:cs="Arial" w:eastAsia="Arial" w:hAnsi="Arial"/>
          <w:b/>
          <w:bCs/>
          <w:color w:val="2E75B6"/>
          <w:sz w:val="24"/>
          <w:szCs w:val="24"/>
        </w:rPr>
        <w:t xml:space="preserve">4.2 Zero-Knowledge Machine Learning (ZKML)</w:t>
      </w:r>
    </w:p>
    <w:p>
      <w:pPr>
        <w:spacing w:after="80" w:before="80" w:line="360"/>
        <w:jc w:val="both"/>
      </w:pPr>
      <w:r>
        <w:rPr>
          <w:rFonts w:ascii="Arial" w:cs="Arial" w:eastAsia="Arial" w:hAnsi="Arial"/>
          <w:sz w:val="22"/>
          <w:szCs w:val="22"/>
        </w:rPr>
        <w:t xml:space="preserve">Peng et al. (2025) produced a comprehensive survey of ZKML covering 27 significant studies from June 2017 to December 2024, identifying primary bottlenecks as limited circuit expressiveness, high proving cost, and deployment complexity. Modulus Labs demonstrated practical on-chain verification of ML models containing up to 18 million parameters. Pailoor et al. (2023) formally identified and automated detection of underconstrained circuits in ZKP systems. Real-world deployments including Worldcoin's iris-based identity verification confirm ZKML is entering production — though significant security challenges remain. Critical gap: no taxonomy of underconstrained circuit attack vectors exists specifically for ZKML inference in the blockchain validator context.</w:t>
      </w:r>
    </w:p>
    <w:p>
      <w:pPr>
        <w:pStyle w:val="Heading2"/>
        <w:spacing w:after="80" w:before="240"/>
      </w:pPr>
      <w:r>
        <w:rPr>
          <w:rFonts w:ascii="Arial" w:cs="Arial" w:eastAsia="Arial" w:hAnsi="Arial"/>
          <w:b/>
          <w:bCs/>
          <w:color w:val="2E75B6"/>
          <w:sz w:val="24"/>
          <w:szCs w:val="24"/>
        </w:rPr>
        <w:t xml:space="preserve">4.3 Post-Quantum Cryptography in Blockchain</w:t>
      </w:r>
    </w:p>
    <w:p>
      <w:pPr>
        <w:spacing w:after="80" w:before="80" w:line="360"/>
        <w:jc w:val="both"/>
      </w:pPr>
      <w:r>
        <w:rPr>
          <w:rFonts w:ascii="Arial" w:cs="Arial" w:eastAsia="Arial" w:hAnsi="Arial"/>
          <w:sz w:val="22"/>
          <w:szCs w:val="22"/>
        </w:rPr>
        <w:t xml:space="preserve">Schemitt et al. (2025) documented a comprehensive survey of quantum attacks across UTXO models, account balance schemes, and consensus resilience, confirming that naively swapping existing signatures with PQC alternatives introduces intolerable overheads for storage, bandwidth, and protocol liveness. NIST's 2024 standardization of ML-DSA and ML-KEM marked a critical milestone. A 2025 impact assessment found that PQC computational overhead in consensus environments remains a significant unsolved engineering challenge. Major networks including Solana have introduced optional PQC components but have not committed to system-wide transitions. Critical gap: no published work benchmarks PQC overhead specifically in AI-intensive consensus rounds.</w:t>
      </w:r>
    </w:p>
    <w:p>
      <w:pPr>
        <w:pStyle w:val="Heading2"/>
        <w:spacing w:after="80" w:before="240"/>
      </w:pPr>
      <w:r>
        <w:rPr>
          <w:rFonts w:ascii="Arial" w:cs="Arial" w:eastAsia="Arial" w:hAnsi="Arial"/>
          <w:b/>
          <w:bCs/>
          <w:color w:val="2E75B6"/>
          <w:sz w:val="24"/>
          <w:szCs w:val="24"/>
        </w:rPr>
        <w:t xml:space="preserve">4.4 Blockchain-AI Alignment and Formal Verification</w:t>
      </w:r>
    </w:p>
    <w:p>
      <w:pPr>
        <w:spacing w:after="80" w:before="80" w:line="360"/>
        <w:jc w:val="both"/>
      </w:pPr>
      <w:r>
        <w:rPr>
          <w:rFonts w:ascii="Arial" w:cs="Arial" w:eastAsia="Arial" w:hAnsi="Arial"/>
          <w:sz w:val="22"/>
          <w:szCs w:val="22"/>
        </w:rPr>
        <w:t xml:space="preserve">A 2024 Springer contribution proposes a governance layer using Proof of Personhood and zk-STARKs for AI safety in a post-quantum era, demonstrating convergence of ZKP, AI governance, and PQC at a conceptual level. Automated formal verification of smart contracts remains an open problem; current approaches rely on manual auditing pipelines incompatible with high-velocity deployment. Critical gap: no work addresses the co-design interaction effects when all three pillars are integrated simultaneously.</w:t>
      </w:r>
    </w:p>
    <w:p>
      <w:pPr>
        <w:spacing w:after="0" w:before="80"/>
      </w:pPr>
      <w:r>
        <w:t xml:space="preserve"/>
      </w:r>
    </w:p>
    <w:p>
      <w:pPr>
        <w:pStyle w:val="Heading2"/>
        <w:spacing w:after="80" w:before="240"/>
      </w:pPr>
      <w:r>
        <w:rPr>
          <w:rFonts w:ascii="Arial" w:cs="Arial" w:eastAsia="Arial" w:hAnsi="Arial"/>
          <w:b/>
          <w:bCs/>
          <w:color w:val="2E75B6"/>
          <w:sz w:val="24"/>
          <w:szCs w:val="24"/>
        </w:rPr>
        <w:t xml:space="preserve">4.5 Consolidated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560"/>
        <w:gridCol w:w="110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Gap ID</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Domain</w:t>
            </w:r>
          </w:p>
        </w:tc>
        <w:tc>
          <w:tcPr>
            <w:tcW w:type="dxa" w:w="45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Description</w:t>
            </w:r>
          </w:p>
        </w:tc>
        <w:tc>
          <w:tcPr>
            <w:tcW w:type="dxa" w:w="11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Impact</w:t>
            </w:r>
          </w:p>
        </w:tc>
      </w:tr>
      <w:tr>
        <w:trPr>
          <w:tblHeader w:val="false"/>
        </w:trPr>
        <w:tc>
          <w:tcPr>
            <w:tcW w:type="dxa" w:w="9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G1</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Consensus (PoUI)</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No formally proven, manipulation-resistant Trust Score model with convergence guarantees</w:t>
            </w:r>
          </w:p>
        </w:tc>
        <w:tc>
          <w:tcPr>
            <w:tcW w:type="dxa" w:w="11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High</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G2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ZKML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No ZKML underconstrained circuit vulnerability taxonomy in the validator context</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High</w:t>
            </w:r>
          </w:p>
        </w:tc>
      </w:tr>
      <w:tr>
        <w:trPr>
          <w:tblHeader w:val="false"/>
        </w:trPr>
        <w:tc>
          <w:tcPr>
            <w:tcW w:type="dxa" w:w="9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G3</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PQC</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PQC overhead unquantified in AI-intensive consensus environments</w:t>
            </w:r>
          </w:p>
        </w:tc>
        <w:tc>
          <w:tcPr>
            <w:tcW w:type="dxa" w:w="11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High</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G4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Co-Design</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No published co-design study of PoUI + ZKML + PQC as unified architecture</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Critical</w:t>
            </w:r>
          </w:p>
        </w:tc>
      </w:tr>
    </w:tbl>
    <w:p>
      <w:pPr>
        <w:spacing w:after="0" w:before="120"/>
      </w:pPr>
      <w:r>
        <w:t xml:space="preserve"/>
      </w:r>
    </w:p>
    <w:p>
      <w:pPr>
        <w:pStyle w:val="Heading1"/>
        <w:pBdr>
          <w:bottom w:val="single" w:color="2E75B6" w:sz="6" w:space="4"/>
        </w:pBdr>
        <w:spacing w:after="120" w:before="360"/>
      </w:pPr>
      <w:r>
        <w:rPr>
          <w:rFonts w:ascii="Arial" w:cs="Arial" w:eastAsia="Arial" w:hAnsi="Arial"/>
          <w:b/>
          <w:bCs/>
          <w:color w:val="1F3864"/>
          <w:sz w:val="28"/>
          <w:szCs w:val="28"/>
        </w:rPr>
        <w:t xml:space="preserve">5. Methodology</w:t>
      </w:r>
    </w:p>
    <w:p>
      <w:pPr>
        <w:pStyle w:val="Heading2"/>
        <w:spacing w:after="80" w:before="240"/>
      </w:pPr>
      <w:r>
        <w:rPr>
          <w:rFonts w:ascii="Arial" w:cs="Arial" w:eastAsia="Arial" w:hAnsi="Arial"/>
          <w:b/>
          <w:bCs/>
          <w:color w:val="2E75B6"/>
          <w:sz w:val="24"/>
          <w:szCs w:val="24"/>
        </w:rPr>
        <w:t xml:space="preserve">5.1 Phase 1: Systematic Literature Review</w:t>
      </w:r>
    </w:p>
    <w:p>
      <w:pPr>
        <w:spacing w:after="80" w:before="80" w:line="360"/>
        <w:jc w:val="both"/>
      </w:pPr>
      <w:r>
        <w:rPr>
          <w:rFonts w:ascii="Arial" w:cs="Arial" w:eastAsia="Arial" w:hAnsi="Arial"/>
          <w:sz w:val="22"/>
          <w:szCs w:val="22"/>
        </w:rPr>
        <w:t xml:space="preserve">A PRISMA-compliant systematic literature review will be conducted across IEEE Xplore, ACM Digital Library, arXiv, SpringerLink, and Scopus. Target: 60+ papers surveyed, with a structured PRISMA flowchart documenting inclusion/exclusion criteria. Search queries will include combinations of: 'AI consensus blockchain,' 'Proof of Useful Intelligence,' 'ZKML underconstrained circuits,' 'post-quantum blockchain overhead,' and 'AI-native protocol design.' Papers from 2020–2026 will be prioritized, with foundational pre-2020 works on consensus theory and ZKP mathematics included for conceptual grounding.</w:t>
      </w:r>
    </w:p>
    <w:p>
      <w:pPr>
        <w:pStyle w:val="Heading2"/>
        <w:spacing w:after="80" w:before="240"/>
      </w:pPr>
      <w:r>
        <w:rPr>
          <w:rFonts w:ascii="Arial" w:cs="Arial" w:eastAsia="Arial" w:hAnsi="Arial"/>
          <w:b/>
          <w:bCs/>
          <w:color w:val="2E75B6"/>
          <w:sz w:val="24"/>
          <w:szCs w:val="24"/>
        </w:rPr>
        <w:t xml:space="preserve">5.2 Phase 2: Trust Score Formalization and Simulation</w:t>
      </w:r>
    </w:p>
    <w:p>
      <w:pPr>
        <w:pStyle w:val="Heading3"/>
        <w:spacing w:after="60" w:before="180"/>
      </w:pPr>
      <w:r>
        <w:rPr>
          <w:rFonts w:ascii="Arial" w:cs="Arial" w:eastAsia="Arial" w:hAnsi="Arial"/>
          <w:b/>
          <w:bCs/>
          <w:color w:val="444444"/>
          <w:sz w:val="22"/>
          <w:szCs w:val="22"/>
        </w:rPr>
        <w:t xml:space="preserve">5.2.1 Mathematical Model</w:t>
      </w:r>
    </w:p>
    <w:p>
      <w:pPr>
        <w:spacing w:after="80" w:before="80" w:line="360"/>
        <w:jc w:val="both"/>
      </w:pPr>
      <w:r>
        <w:rPr>
          <w:rFonts w:ascii="Arial" w:cs="Arial" w:eastAsia="Arial" w:hAnsi="Arial"/>
          <w:sz w:val="22"/>
          <w:szCs w:val="22"/>
        </w:rPr>
        <w:t xml:space="preserve">The core theoretical contribution is a dynamic node Trust Score T governing validator eligibility in PoUI consensus. The proposed update function is:</w:t>
      </w:r>
    </w:p>
    <w:p>
      <w:pPr>
        <w:spacing w:after="0" w:before="60"/>
      </w:pPr>
      <w:r>
        <w:t xml:space="preserve"/>
      </w:r>
    </w:p>
    <w:p>
      <w:pPr>
        <w:shd w:fill="D6E4F0" w:val="clear"/>
        <w:spacing w:after="120" w:before="120"/>
        <w:jc w:val="center"/>
      </w:pPr>
      <w:r>
        <w:rPr>
          <w:rFonts w:ascii="Courier New" w:cs="Courier New" w:eastAsia="Courier New" w:hAnsi="Courier New"/>
          <w:b/>
          <w:bCs/>
          <w:color w:val="1F3864"/>
          <w:sz w:val="26"/>
          <w:szCs w:val="26"/>
        </w:rPr>
        <w:t xml:space="preserve">Tₜ = α · Aₜ² × e^(−λLₜ) + β · ln(Uₜ) − γ · Sₜ</w:t>
      </w:r>
    </w:p>
    <w:p>
      <w:pPr>
        <w:spacing w:after="0" w:before="60"/>
      </w:pPr>
      <w:r>
        <w:t xml:space="preserve"/>
      </w:r>
    </w:p>
    <w:p>
      <w:pPr>
        <w:spacing w:after="80" w:before="80" w:line="360"/>
        <w:jc w:val="both"/>
      </w:pPr>
      <w:r>
        <w:rPr>
          <w:rFonts w:ascii="Arial" w:cs="Arial" w:eastAsia="Arial" w:hAnsi="Arial"/>
          <w:sz w:val="22"/>
          <w:szCs w:val="22"/>
        </w:rPr>
        <w:t xml:space="preserve">Where: Tₜ = Trust Score at evaluation epoch t; Aₜ = Normalized AI inference accuracy (0–1); Lₜ = Network response latency (ms); λ = Exponential latency decay constant; Uₜ = Cumulative uptime ratio over past N epochs; Sₜ = Slash binary flag (0 or 1) for fraudulent submission detection; α, β, γ = Dynamically adjusted weight coefficients maintained by network governance.</w:t>
      </w:r>
    </w:p>
    <w:p>
      <w:pPr>
        <w:spacing w:after="0" w:before="60"/>
      </w:pPr>
      <w:r>
        <w:t xml:space="preserve"/>
      </w:r>
    </w:p>
    <w:p>
      <w:pPr>
        <w:spacing w:after="80" w:before="80" w:line="360"/>
        <w:jc w:val="both"/>
      </w:pPr>
      <w:r>
        <w:rPr>
          <w:rFonts w:ascii="Arial" w:cs="Arial" w:eastAsia="Arial" w:hAnsi="Arial"/>
          <w:sz w:val="22"/>
          <w:szCs w:val="22"/>
        </w:rPr>
        <w:t xml:space="preserve">The quadratic term Aₜ² creates strong incentives for genuine computation quality. The exponential decay e^(−λLₜ) penalizes high-latency nodes non-linearly. The slash term Sₜ enables rapid ejection of malicious validators. Formal analysis will derive: (a) theoretical bounds on Tₜ; (b) Sybil resistance guarantees; (c) proof that the function is non-gameable under rational adversary assumptions; and (d) convergence rate theorems for malicious node exclusion.</w:t>
      </w:r>
    </w:p>
    <w:p>
      <w:pPr>
        <w:pStyle w:val="Heading3"/>
        <w:spacing w:after="60" w:before="180"/>
      </w:pPr>
      <w:r>
        <w:rPr>
          <w:rFonts w:ascii="Arial" w:cs="Arial" w:eastAsia="Arial" w:hAnsi="Arial"/>
          <w:b/>
          <w:bCs/>
          <w:color w:val="444444"/>
          <w:sz w:val="22"/>
          <w:szCs w:val="22"/>
        </w:rPr>
        <w:t xml:space="preserve">5.2.2 Python Simulation</w:t>
      </w:r>
    </w:p>
    <w:p>
      <w:pPr>
        <w:spacing w:after="80" w:before="80" w:line="360"/>
        <w:jc w:val="both"/>
      </w:pPr>
      <w:r>
        <w:rPr>
          <w:rFonts w:ascii="Arial" w:cs="Arial" w:eastAsia="Arial" w:hAnsi="Arial"/>
          <w:sz w:val="22"/>
          <w:szCs w:val="22"/>
        </w:rPr>
        <w:t xml:space="preserve">A Python simulation will model N=100 nodes over T=1,000 epochs with three node classes: (a) honest nodes with accuracy sampled from Gaussian distribution (mean=0.90, std=0.05); (b) high-latency honest nodes (accuracy normal, latency 3x standard deviation above mean); (c) malicious nodes submitting fabricated AI outputs (accuracy 0.10–0.30). Primary metric: epochs before permanent malicious node exclusion, compared against equivalent PoS rotation under identical adversarial conditions. Secondary metrics: honest node reward distribution, latency self-regulation behavior, Gini coefficient of trust score distribution.</w:t>
      </w:r>
    </w:p>
    <w:p>
      <w:pPr>
        <w:pStyle w:val="Heading2"/>
        <w:spacing w:after="80" w:before="240"/>
      </w:pPr>
      <w:r>
        <w:rPr>
          <w:rFonts w:ascii="Arial" w:cs="Arial" w:eastAsia="Arial" w:hAnsi="Arial"/>
          <w:b/>
          <w:bCs/>
          <w:color w:val="2E75B6"/>
          <w:sz w:val="24"/>
          <w:szCs w:val="24"/>
        </w:rPr>
        <w:t xml:space="preserve">5.3 Phase 3: ZKML Circuit Security Analysis</w:t>
      </w:r>
    </w:p>
    <w:p>
      <w:pPr>
        <w:spacing w:after="80" w:before="80" w:line="360"/>
        <w:jc w:val="both"/>
      </w:pPr>
      <w:r>
        <w:rPr>
          <w:rFonts w:ascii="Arial" w:cs="Arial" w:eastAsia="Arial" w:hAnsi="Arial"/>
          <w:sz w:val="22"/>
          <w:szCs w:val="22"/>
        </w:rPr>
        <w:t xml:space="preserve">Following Pailoor et al.'s methodology, this phase will formally characterize underconstrained circuit conditions in EZKL-compiled neural network circuits. The formal condition for circuit soundness will be defined: for every output y accepted by the verifier, there must exist exactly one valid computation trace. This phase will: (a) construct a taxonomy of underconstrained circuit attack vectors specific to ZKML inference in a blockchain validator context; (b) derive necessary and sufficient constraint conditions for circuit soundness; (c) construct at least one proof-of-concept circuit exploit to empirically validate the threat model; and (d) propose constraint templates that circuit authors can apply to prevent the identified vulnerabilities.</w:t>
      </w:r>
    </w:p>
    <w:p>
      <w:pPr>
        <w:pStyle w:val="Heading2"/>
        <w:spacing w:after="80" w:before="240"/>
      </w:pPr>
      <w:r>
        <w:rPr>
          <w:rFonts w:ascii="Arial" w:cs="Arial" w:eastAsia="Arial" w:hAnsi="Arial"/>
          <w:b/>
          <w:bCs/>
          <w:color w:val="2E75B6"/>
          <w:sz w:val="24"/>
          <w:szCs w:val="24"/>
        </w:rPr>
        <w:t xml:space="preserve">5.4 Phase 4: PQC Overhead Benchmarking</w:t>
      </w:r>
    </w:p>
    <w:p>
      <w:pPr>
        <w:spacing w:after="80" w:before="80" w:line="360"/>
        <w:jc w:val="both"/>
      </w:pPr>
      <w:r>
        <w:rPr>
          <w:rFonts w:ascii="Arial" w:cs="Arial" w:eastAsia="Arial" w:hAnsi="Arial"/>
          <w:sz w:val="22"/>
          <w:szCs w:val="22"/>
        </w:rPr>
        <w:t xml:space="preserve">Using the liboqs library and PQClean implementations, this phase will benchmark ML-DSA and ML-KEM performance in simulated consensus environments. Metrics to be measured: signature generation and verification time; signature size impact on block size at varying TPS targets (100, 1,000, 10,000 TPS); key encapsulation overhead per consensus round; bandwidth amplification factor versus ECDSA baseline. Results will be compared against the ECDSA/EdDSA baseline to quantify the performance cost of quantum resistance and identify architectural mitigations (batching, aggregate signatures, layered PQC deployment).</w:t>
      </w:r>
    </w:p>
    <w:p>
      <w:pPr>
        <w:pStyle w:val="Heading2"/>
        <w:spacing w:after="80" w:before="240"/>
      </w:pPr>
      <w:r>
        <w:rPr>
          <w:rFonts w:ascii="Arial" w:cs="Arial" w:eastAsia="Arial" w:hAnsi="Arial"/>
          <w:b/>
          <w:bCs/>
          <w:color w:val="2E75B6"/>
          <w:sz w:val="24"/>
          <w:szCs w:val="24"/>
        </w:rPr>
        <w:t xml:space="preserve">5.5 Phase 5: Architectural Co-Design and Interaction Analysis</w:t>
      </w:r>
    </w:p>
    <w:p>
      <w:pPr>
        <w:spacing w:after="80" w:before="80" w:line="360"/>
        <w:jc w:val="both"/>
      </w:pPr>
      <w:r>
        <w:rPr>
          <w:rFonts w:ascii="Arial" w:cs="Arial" w:eastAsia="Arial" w:hAnsi="Arial"/>
          <w:sz w:val="22"/>
          <w:szCs w:val="22"/>
        </w:rPr>
        <w:t xml:space="preserve">The architectural blueprint will define formal interface contracts between the three pillars: the PoUI consensus layer, the ZKML proof generation and verification layer, and the PQC signature and key encapsulation layer. This phase will specifically answer RQ5 by: (a) modeling the combined overhead when ZKML proofs are attached to PQC-signed PoUI consensus messages; (b) identifying emergent security properties that arise only from co-design (not present when each pillar is integrated independently); (c) identifying failure modes unique to the co-designed system; and (d) proposing mitigation strategies for each identified failure mode.</w:t>
      </w:r>
    </w:p>
    <w:p>
      <w:pPr>
        <w:spacing w:after="0" w:before="120"/>
      </w:pPr>
      <w:r>
        <w:t xml:space="preserve"/>
      </w:r>
    </w:p>
    <w:p>
      <w:pPr>
        <w:pStyle w:val="Heading1"/>
        <w:pBdr>
          <w:bottom w:val="single" w:color="2E75B6" w:sz="6" w:space="4"/>
        </w:pBdr>
        <w:spacing w:after="120" w:before="360"/>
      </w:pPr>
      <w:r>
        <w:rPr>
          <w:rFonts w:ascii="Arial" w:cs="Arial" w:eastAsia="Arial" w:hAnsi="Arial"/>
          <w:b/>
          <w:bCs/>
          <w:color w:val="1F3864"/>
          <w:sz w:val="28"/>
          <w:szCs w:val="28"/>
        </w:rPr>
        <w:t xml:space="preserve">6. Work Plan and Timeline</w:t>
      </w:r>
    </w:p>
    <w:p>
      <w:pPr>
        <w:pStyle w:val="Heading2"/>
        <w:spacing w:after="80" w:before="240"/>
      </w:pPr>
      <w:r>
        <w:rPr>
          <w:rFonts w:ascii="Arial" w:cs="Arial" w:eastAsia="Arial" w:hAnsi="Arial"/>
          <w:b/>
          <w:bCs/>
          <w:color w:val="2E75B6"/>
          <w:sz w:val="24"/>
          <w:szCs w:val="24"/>
        </w:rPr>
        <w:t xml:space="preserve">6.1 Team Role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Member</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Role</w:t>
            </w:r>
          </w:p>
        </w:tc>
        <w:tc>
          <w:tcPr>
            <w:tcW w:type="dxa" w:w="49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Primary Responsibilities</w:t>
            </w:r>
          </w:p>
        </w:tc>
      </w:tr>
      <w:tr>
        <w:trPr>
          <w:tblHeader w:val="false"/>
        </w:trP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Prof. Dr. Md. Abdul Based</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Principal Investigator</w:t>
            </w:r>
          </w:p>
        </w:tc>
        <w:tc>
          <w:tcPr>
            <w:tcW w:type="dxa" w:w="49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Formal proof review, theoretical guidance, manuscript oversight, journal submission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Md. Mehedi Hasan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Team Lead / Member 5</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Literature review (PRISMA), architecture design, writing coordination, gap analysis</w:t>
            </w:r>
          </w:p>
        </w:tc>
      </w:tr>
      <w:tr>
        <w:trPr>
          <w:tblHeader w:val="false"/>
        </w:trP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Member 1 [TBD]</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Math &amp; Simulation Lead</w:t>
            </w:r>
          </w:p>
        </w:tc>
        <w:tc>
          <w:tcPr>
            <w:tcW w:type="dxa" w:w="49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Trust Score formalization, Python simulation implementation and analysis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Member 2 [TBD]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ZKML Security Lead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Circuit security analysis, underconstrained circuit taxonomy, PoC exploit</w:t>
            </w:r>
          </w:p>
        </w:tc>
      </w:tr>
      <w:tr>
        <w:trPr>
          <w:tblHeader w:val="false"/>
        </w:trP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Member 3 [TBD]</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PQC Benchmarking Lead</w:t>
            </w:r>
          </w:p>
        </w:tc>
        <w:tc>
          <w:tcPr>
            <w:tcW w:type="dxa" w:w="49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liboqs/PQClean setup, overhead benchmarks, mitigation proposals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Member 4 [TBD]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Systems Architect</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Interface contract design, co-design interaction analysis, RQ5 empirical study</w:t>
            </w:r>
          </w:p>
        </w:tc>
      </w:tr>
    </w:tbl>
    <w:p>
      <w:pPr>
        <w:spacing w:after="0" w:before="80"/>
      </w:pPr>
      <w:r>
        <w:t xml:space="preserve"/>
      </w:r>
    </w:p>
    <w:p>
      <w:pPr>
        <w:pStyle w:val="Heading2"/>
        <w:spacing w:after="80" w:before="240"/>
      </w:pPr>
      <w:r>
        <w:rPr>
          <w:rFonts w:ascii="Arial" w:cs="Arial" w:eastAsia="Arial" w:hAnsi="Arial"/>
          <w:b/>
          <w:bCs/>
          <w:color w:val="2E75B6"/>
          <w:sz w:val="24"/>
          <w:szCs w:val="24"/>
        </w:rPr>
        <w:t xml:space="preserve">6.2 Milestone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60"/>
        <w:gridCol w:w="18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Month(s)</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Phase</w:t>
            </w:r>
          </w:p>
        </w:tc>
        <w:tc>
          <w:tcPr>
            <w:tcW w:type="dxa" w:w="45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Deliverable</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Owner</w:t>
            </w:r>
          </w:p>
        </w:tc>
      </w:tr>
      <w:tr>
        <w:trPr>
          <w:tblHeader w:val="false"/>
        </w:trPr>
        <w:tc>
          <w:tcPr>
            <w:tcW w:type="dxa" w:w="1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Setup</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Roles assigned, core papers read, simulation skeleton running, PRISMA started</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All</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Foundation</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30+ papers surveyed, Trust Score formally defined with parameter rationale, liboqs installed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M1, M3, M5</w:t>
            </w:r>
          </w:p>
        </w:tc>
      </w:tr>
      <w:tr>
        <w:trPr>
          <w:tblHeader w:val="false"/>
        </w:trPr>
        <w:tc>
          <w:tcPr>
            <w:tcW w:type="dxa" w:w="1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2–3</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Core Work</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Simulation over 1,000 epochs complete with raw results, first circuit exploit identified</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M1, M2</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3–4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Core Work</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PQC benchmark numbers at 100/1,000/10,000 TPS, interface contracts drafted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M3, M4</w:t>
            </w:r>
          </w:p>
        </w:tc>
      </w:tr>
      <w:tr>
        <w:trPr>
          <w:tblHeader w:val="false"/>
        </w:trPr>
        <w:tc>
          <w:tcPr>
            <w:tcW w:type="dxa" w:w="1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4–5</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Analysis</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Formal proofs drafted (Trust Score bounds, Sybil resistance), ZKML constraint conditions defined</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M1, M2, PI</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5–6</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Analysis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Co-design interaction analysis complete, RQ5 answered empirically, 60+ paper review done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M4, M5</w:t>
            </w:r>
          </w:p>
        </w:tc>
      </w:tr>
      <w:tr>
        <w:trPr>
          <w:tblHeader w:val="false"/>
        </w:trPr>
        <w:tc>
          <w:tcPr>
            <w:tcW w:type="dxa" w:w="1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6–7</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Writing</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Full first draft incorporating all real results, internal team review</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All</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7–8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Review</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PI review, external feedback incorporated, final manuscript prepared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PI, M5</w:t>
            </w:r>
          </w:p>
        </w:tc>
      </w:tr>
      <w:tr>
        <w:trPr>
          <w:tblHeader w:val="false"/>
        </w:trPr>
        <w:tc>
          <w:tcPr>
            <w:tcW w:type="dxa" w:w="1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8–9</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Submission</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Journal submission (target: IEEE TDSC / IEEE TIFS / TOPS)</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PI, M5</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9–12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Revision</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Reviewer response, revision, resubmission if required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All</w:t>
            </w:r>
          </w:p>
        </w:tc>
      </w:tr>
      <w:tr>
        <w:trPr>
          <w:tblHeader w:val="false"/>
        </w:trPr>
        <w:tc>
          <w:tcPr>
            <w:tcW w:type="dxa" w:w="1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12–15</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Buffer</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Buffer for second revision cycle; parallel conference paper preparation</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All</w:t>
            </w:r>
          </w:p>
        </w:tc>
      </w:tr>
    </w:tbl>
    <w:p>
      <w:pPr>
        <w:spacing w:after="0" w:before="80"/>
      </w:pPr>
      <w:r>
        <w:t xml:space="preserve"/>
      </w:r>
    </w:p>
    <w:p>
      <w:pPr>
        <w:pStyle w:val="Heading2"/>
        <w:spacing w:after="80" w:before="240"/>
      </w:pPr>
      <w:r>
        <w:rPr>
          <w:rFonts w:ascii="Arial" w:cs="Arial" w:eastAsia="Arial" w:hAnsi="Arial"/>
          <w:b/>
          <w:bCs/>
          <w:color w:val="2E75B6"/>
          <w:sz w:val="24"/>
          <w:szCs w:val="24"/>
        </w:rPr>
        <w:t xml:space="preserve">6.3 Weekly Execution Plan — Month 1 (Critical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15"/>
        <w:gridCol w:w="2115"/>
        <w:gridCol w:w="2115"/>
        <w:gridCol w:w="2115"/>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Week</w:t>
            </w:r>
          </w:p>
        </w:tc>
        <w:tc>
          <w:tcPr>
            <w:tcW w:type="dxa" w:w="2115"/>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Member 1</w:t>
            </w:r>
          </w:p>
        </w:tc>
        <w:tc>
          <w:tcPr>
            <w:tcW w:type="dxa" w:w="2115"/>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Member 2</w:t>
            </w:r>
          </w:p>
        </w:tc>
        <w:tc>
          <w:tcPr>
            <w:tcW w:type="dxa" w:w="2115"/>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Member 3</w:t>
            </w:r>
          </w:p>
        </w:tc>
        <w:tc>
          <w:tcPr>
            <w:tcW w:type="dxa" w:w="2115"/>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Member 4</w:t>
            </w:r>
          </w:p>
        </w:tc>
        <w:tc>
          <w:tcPr>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Mehedi (M5)</w:t>
            </w:r>
          </w:p>
        </w:tc>
      </w:tr>
      <w:tr>
        <w:trPr>
          <w:tblHeader w:val="false"/>
        </w:trPr>
        <w:tc>
          <w:tcPr>
            <w:tcW w:type="dxa" w:w="9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Week 1</w:t>
            </w:r>
          </w:p>
        </w:tc>
        <w:tc>
          <w:tcPr>
            <w:tcW w:type="dxa" w:w="2115"/>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Simulation framework skeleton: node classes, epoch loop</w:t>
            </w:r>
          </w:p>
        </w:tc>
        <w:tc>
          <w:tcPr>
            <w:tcW w:type="dxa" w:w="2115"/>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Read Pailoor et al. CCS23 + set up EZKL environment</w:t>
            </w:r>
          </w:p>
        </w:tc>
        <w:tc>
          <w:tcPr>
            <w:tcW w:type="dxa" w:w="2115"/>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Install liboqs, run Hello World ML-DSA benchmark</w:t>
            </w:r>
          </w:p>
        </w:tc>
        <w:tc>
          <w:tcPr>
            <w:tcW w:type="dxa" w:w="2115"/>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Sketch PoUI↔ZKML↔PQC layer diagram</w:t>
            </w:r>
          </w:p>
        </w:tc>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Start PRISMA, target 30 papers by end of week 2</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Week 2</w:t>
            </w:r>
          </w:p>
        </w:tc>
        <w:tc>
          <w:tcPr>
            <w:tcW w:type="dxa" w:w="2115"/>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All 3 node classes running, Tₜ updating per epoch</w:t>
            </w:r>
          </w:p>
        </w:tc>
        <w:tc>
          <w:tcPr>
            <w:tcW w:type="dxa" w:w="2115"/>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First underconstrained circuit example identified</w:t>
            </w:r>
          </w:p>
        </w:tc>
        <w:tc>
          <w:tcPr>
            <w:tcW w:type="dxa" w:w="2115"/>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ML-DSA vs ECDSA signature size comparison done</w:t>
            </w:r>
          </w:p>
        </w:tc>
        <w:tc>
          <w:tcPr>
            <w:tcW w:type="dxa" w:w="2115"/>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First interface contract draft (PoUI side)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30+ papers reviewed, gap table v1</w:t>
            </w:r>
          </w:p>
        </w:tc>
      </w:tr>
      <w:tr>
        <w:trPr>
          <w:tblHeader w:val="false"/>
        </w:trPr>
        <w:tc>
          <w:tcPr>
            <w:tcW w:type="dxa" w:w="9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Week 3</w:t>
            </w:r>
          </w:p>
        </w:tc>
        <w:tc>
          <w:tcPr>
            <w:tcW w:type="dxa" w:w="2115"/>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1,000-epoch run complete, raw results extracted</w:t>
            </w:r>
          </w:p>
        </w:tc>
        <w:tc>
          <w:tcPr>
            <w:tcW w:type="dxa" w:w="2115"/>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Circuit exploit PoC started</w:t>
            </w:r>
          </w:p>
        </w:tc>
        <w:tc>
          <w:tcPr>
            <w:tcW w:type="dxa" w:w="2115"/>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Benchmarks at 100 TPS and 1,000 TPS</w:t>
            </w:r>
          </w:p>
        </w:tc>
        <w:tc>
          <w:tcPr>
            <w:tcW w:type="dxa" w:w="2115"/>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ZKML interface contract draft</w:t>
            </w:r>
          </w:p>
        </w:tc>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50+ papers, literature section v1 drafted</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Week 4</w:t>
            </w:r>
          </w:p>
        </w:tc>
        <w:tc>
          <w:tcPr>
            <w:tcW w:type="dxa" w:w="2115"/>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Statistical analysis of results, start formal bounds</w:t>
            </w:r>
          </w:p>
        </w:tc>
        <w:tc>
          <w:tcPr>
            <w:tcW w:type="dxa" w:w="2115"/>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Underconstrained condition formally stated</w:t>
            </w:r>
          </w:p>
        </w:tc>
        <w:tc>
          <w:tcPr>
            <w:tcW w:type="dxa" w:w="2115"/>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Benchmarks at 10,000 TPS + mitigation ideas</w:t>
            </w:r>
          </w:p>
        </w:tc>
        <w:tc>
          <w:tcPr>
            <w:tcW w:type="dxa" w:w="2115"/>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Co-design interaction matrix drafted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Internal results review meeting, draft Section 7 outline</w:t>
            </w:r>
          </w:p>
        </w:tc>
      </w:tr>
    </w:tbl>
    <w:p>
      <w:pPr>
        <w:spacing w:after="0" w:before="120"/>
      </w:pPr>
      <w:r>
        <w:t xml:space="preserve"/>
      </w:r>
    </w:p>
    <w:p>
      <w:pPr>
        <w:pStyle w:val="Heading1"/>
        <w:pBdr>
          <w:bottom w:val="single" w:color="2E75B6" w:sz="6" w:space="4"/>
        </w:pBdr>
        <w:spacing w:after="120" w:before="360"/>
      </w:pPr>
      <w:r>
        <w:rPr>
          <w:rFonts w:ascii="Arial" w:cs="Arial" w:eastAsia="Arial" w:hAnsi="Arial"/>
          <w:b/>
          <w:bCs/>
          <w:color w:val="1F3864"/>
          <w:sz w:val="28"/>
          <w:szCs w:val="28"/>
        </w:rPr>
        <w:t xml:space="preserve">7. Expected Contributions</w:t>
      </w:r>
    </w:p>
    <w:p>
      <w:pPr>
        <w:pStyle w:val="Heading2"/>
        <w:spacing w:after="80" w:before="240"/>
      </w:pPr>
      <w:r>
        <w:rPr>
          <w:rFonts w:ascii="Arial" w:cs="Arial" w:eastAsia="Arial" w:hAnsi="Arial"/>
          <w:b/>
          <w:bCs/>
          <w:color w:val="2E75B6"/>
          <w:sz w:val="24"/>
          <w:szCs w:val="24"/>
        </w:rPr>
        <w:t xml:space="preserve">7.1 Academic Contributions</w:t>
      </w:r>
    </w:p>
    <w:p>
      <w:pPr>
        <w:pStyle w:val="ListParagraph"/>
        <w:numPr>
          <w:ilvl w:val="0"/>
          <w:numId w:val="2"/>
        </w:numPr>
        <w:spacing w:after="60" w:before="60"/>
      </w:pPr>
      <w:r>
        <w:rPr>
          <w:rFonts w:ascii="Arial" w:cs="Arial" w:eastAsia="Arial" w:hAnsi="Arial"/>
          <w:sz w:val="22"/>
          <w:szCs w:val="22"/>
        </w:rPr>
        <w:t xml:space="preserve">A PRISMA-compliant systematic literature review and structured gap analysis across AI consensus, ZKML security, and PQC blockchain integration — the first to treat these three domains as an integrated research space.</w:t>
      </w:r>
    </w:p>
    <w:p>
      <w:pPr>
        <w:pStyle w:val="ListParagraph"/>
        <w:numPr>
          <w:ilvl w:val="0"/>
          <w:numId w:val="2"/>
        </w:numPr>
        <w:spacing w:after="60" w:before="60"/>
      </w:pPr>
      <w:r>
        <w:rPr>
          <w:rFonts w:ascii="Arial" w:cs="Arial" w:eastAsia="Arial" w:hAnsi="Arial"/>
          <w:sz w:val="22"/>
          <w:szCs w:val="22"/>
        </w:rPr>
        <w:t xml:space="preserve">A formally proven Trust Score model for PoUI-based consensus, with theorem-proof structure establishing bounds on Sybil resistance, convergence rate, and manipulation resistance under rational adversary assumptions.</w:t>
      </w:r>
    </w:p>
    <w:p>
      <w:pPr>
        <w:pStyle w:val="ListParagraph"/>
        <w:numPr>
          <w:ilvl w:val="0"/>
          <w:numId w:val="2"/>
        </w:numPr>
        <w:spacing w:after="60" w:before="60"/>
      </w:pPr>
      <w:r>
        <w:rPr>
          <w:rFonts w:ascii="Arial" w:cs="Arial" w:eastAsia="Arial" w:hAnsi="Arial"/>
          <w:sz w:val="22"/>
          <w:szCs w:val="22"/>
        </w:rPr>
        <w:t xml:space="preserve">A comprehensive taxonomy of underconstrained ZKML circuit vulnerabilities in the blockchain validator context, with formal constraint conditions for circuit soundness and at least one empirical proof-of-concept exploit.</w:t>
      </w:r>
    </w:p>
    <w:p>
      <w:pPr>
        <w:pStyle w:val="ListParagraph"/>
        <w:numPr>
          <w:ilvl w:val="0"/>
          <w:numId w:val="2"/>
        </w:numPr>
        <w:spacing w:after="60" w:before="60"/>
      </w:pPr>
      <w:r>
        <w:rPr>
          <w:rFonts w:ascii="Arial" w:cs="Arial" w:eastAsia="Arial" w:hAnsi="Arial"/>
          <w:sz w:val="22"/>
          <w:szCs w:val="22"/>
        </w:rPr>
        <w:t xml:space="preserve">Quantitative PQC overhead benchmarks for ML-DSA and ML-KEM in AI-intensive consensus environments, with proposed architectural mitigations — the first such study targeting the PoUI consensus context.</w:t>
      </w:r>
    </w:p>
    <w:p>
      <w:pPr>
        <w:pStyle w:val="ListParagraph"/>
        <w:numPr>
          <w:ilvl w:val="0"/>
          <w:numId w:val="2"/>
        </w:numPr>
        <w:spacing w:after="60" w:before="60"/>
      </w:pPr>
      <w:r>
        <w:rPr>
          <w:rFonts w:ascii="Arial" w:cs="Arial" w:eastAsia="Arial" w:hAnsi="Arial"/>
          <w:sz w:val="22"/>
          <w:szCs w:val="22"/>
        </w:rPr>
        <w:t xml:space="preserve">An architectural blueprint for co-designed PoUI + ZKML + PQC integration, including formal interface contracts and an empirical analysis of co-design interaction effects (RQ5) — the most novel contribution of the work.</w:t>
      </w:r>
    </w:p>
    <w:p>
      <w:pPr>
        <w:pStyle w:val="Heading2"/>
        <w:spacing w:after="80" w:before="240"/>
      </w:pPr>
      <w:r>
        <w:rPr>
          <w:rFonts w:ascii="Arial" w:cs="Arial" w:eastAsia="Arial" w:hAnsi="Arial"/>
          <w:b/>
          <w:bCs/>
          <w:color w:val="2E75B6"/>
          <w:sz w:val="24"/>
          <w:szCs w:val="24"/>
        </w:rPr>
        <w:t xml:space="preserve">7.2 Practical and Industry Impact</w:t>
      </w:r>
    </w:p>
    <w:p>
      <w:pPr>
        <w:pStyle w:val="ListParagraph"/>
        <w:numPr>
          <w:ilvl w:val="0"/>
          <w:numId w:val="2"/>
        </w:numPr>
        <w:spacing w:after="60" w:before="60"/>
      </w:pPr>
      <w:r>
        <w:rPr>
          <w:rFonts w:ascii="Arial" w:cs="Arial" w:eastAsia="Arial" w:hAnsi="Arial"/>
          <w:sz w:val="22"/>
          <w:szCs w:val="22"/>
        </w:rPr>
        <w:t xml:space="preserve">Security researchers and competitive auditors gain a formal framework for evaluating ZKML circuit soundness, directly applicable to audit competitions targeting AI-integrated protocols.</w:t>
      </w:r>
    </w:p>
    <w:p>
      <w:pPr>
        <w:pStyle w:val="ListParagraph"/>
        <w:numPr>
          <w:ilvl w:val="0"/>
          <w:numId w:val="2"/>
        </w:numPr>
        <w:spacing w:after="60" w:before="60"/>
      </w:pPr>
      <w:r>
        <w:rPr>
          <w:rFonts w:ascii="Arial" w:cs="Arial" w:eastAsia="Arial" w:hAnsi="Arial"/>
          <w:sz w:val="22"/>
          <w:szCs w:val="22"/>
        </w:rPr>
        <w:t xml:space="preserve">Protocol engineers at emerging AI Layer-1 networks (Bittensor, Lightchain AI, etc.) gain a mathematically grounded consensus model as a design reference.</w:t>
      </w:r>
    </w:p>
    <w:p>
      <w:pPr>
        <w:pStyle w:val="ListParagraph"/>
        <w:numPr>
          <w:ilvl w:val="0"/>
          <w:numId w:val="2"/>
        </w:numPr>
        <w:spacing w:after="60" w:before="60"/>
      </w:pPr>
      <w:r>
        <w:rPr>
          <w:rFonts w:ascii="Arial" w:cs="Arial" w:eastAsia="Arial" w:hAnsi="Arial"/>
          <w:sz w:val="22"/>
          <w:szCs w:val="22"/>
        </w:rPr>
        <w:t xml:space="preserve">The PQC overhead analysis provides a practical benchmark for teams planning quantum-resistant migrations.</w:t>
      </w:r>
    </w:p>
    <w:p>
      <w:pPr>
        <w:pStyle w:val="ListParagraph"/>
        <w:numPr>
          <w:ilvl w:val="0"/>
          <w:numId w:val="2"/>
        </w:numPr>
        <w:spacing w:after="60" w:before="60"/>
      </w:pPr>
      <w:r>
        <w:rPr>
          <w:rFonts w:ascii="Arial" w:cs="Arial" w:eastAsia="Arial" w:hAnsi="Arial"/>
          <w:sz w:val="22"/>
          <w:szCs w:val="22"/>
        </w:rPr>
        <w:t xml:space="preserve">The architectural blueprint serves as an open reference design for the Web3 security and academic community.</w:t>
      </w:r>
    </w:p>
    <w:p>
      <w:pPr>
        <w:pStyle w:val="Heading2"/>
        <w:spacing w:after="80" w:before="240"/>
      </w:pPr>
      <w:r>
        <w:rPr>
          <w:rFonts w:ascii="Arial" w:cs="Arial" w:eastAsia="Arial" w:hAnsi="Arial"/>
          <w:b/>
          <w:bCs/>
          <w:color w:val="2E75B6"/>
          <w:sz w:val="24"/>
          <w:szCs w:val="24"/>
        </w:rPr>
        <w:t xml:space="preserve">7.3 Target Publication Venues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3200"/>
        <w:gridCol w:w="17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Venue</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Type</w:t>
            </w:r>
          </w:p>
        </w:tc>
        <w:tc>
          <w:tcPr>
            <w:tcW w:type="dxa" w:w="3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Fit Rationale</w:t>
            </w:r>
          </w:p>
        </w:tc>
        <w:tc>
          <w:tcPr>
            <w:tcW w:type="dxa" w:w="17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Impact Factor</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IEEE Trans. on Dependable and Secure Computing (TDSC)</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Q1 Journal</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Security + protocol design, strong blockchain coverage</w:t>
            </w:r>
          </w:p>
        </w:tc>
        <w:tc>
          <w:tcPr>
            <w:tcW w:type="dxa" w:w="1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~7.0</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IEEE Trans. on Information Forensics and Security (TIFS)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Q1 Journal</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Cryptography + security, strong ZKP coverage</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~6.8</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ACM Trans. on Privacy and Security (TOPS)</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Q1 Journal</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Privacy-preserving systems, decentralized security</w:t>
            </w:r>
          </w:p>
        </w:tc>
        <w:tc>
          <w:tcPr>
            <w:tcW w:type="dxa" w:w="1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~3.5</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Future Generation Computer Systems (Elsevier)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Q1 Journal</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Blockchain + AI intersection, systems architecture</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~7.3</w:t>
            </w:r>
          </w:p>
        </w:tc>
      </w:tr>
    </w:tbl>
    <w:p>
      <w:pPr>
        <w:spacing w:after="0" w:before="120"/>
      </w:pPr>
      <w:r>
        <w:t xml:space="preserve"/>
      </w:r>
    </w:p>
    <w:p>
      <w:pPr>
        <w:pStyle w:val="Heading1"/>
        <w:pBdr>
          <w:bottom w:val="single" w:color="2E75B6" w:sz="6" w:space="4"/>
        </w:pBdr>
        <w:spacing w:after="120" w:before="360"/>
      </w:pPr>
      <w:r>
        <w:rPr>
          <w:rFonts w:ascii="Arial" w:cs="Arial" w:eastAsia="Arial" w:hAnsi="Arial"/>
          <w:b/>
          <w:bCs/>
          <w:color w:val="1F3864"/>
          <w:sz w:val="28"/>
          <w:szCs w:val="28"/>
        </w:rPr>
        <w:t xml:space="preserve">8. Risk Analysis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43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Risk</w:t>
            </w:r>
          </w:p>
        </w:tc>
        <w:tc>
          <w:tcPr>
            <w:tcW w:type="dxa" w:w="11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Likelihood</w:t>
            </w:r>
          </w:p>
        </w:tc>
        <w:tc>
          <w:tcPr>
            <w:tcW w:type="dxa" w:w="11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Impact</w:t>
            </w:r>
          </w:p>
        </w:tc>
        <w:tc>
          <w:tcPr>
            <w:tcW w:type="dxa" w:w="43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Mitigation</w:t>
            </w:r>
          </w:p>
        </w:tc>
      </w:tr>
      <w:tr>
        <w:trPr>
          <w:tblHeader w:val="false"/>
        </w:trP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Trust Score formal proofs too difficult for team without PL background</w:t>
            </w:r>
          </w:p>
        </w:tc>
        <w:tc>
          <w:tcPr>
            <w:tcW w:type="dxa" w:w="11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Medium</w:t>
            </w:r>
          </w:p>
        </w:tc>
        <w:tc>
          <w:tcPr>
            <w:tcW w:type="dxa" w:w="11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High</w:t>
            </w:r>
          </w:p>
        </w:tc>
        <w:tc>
          <w:tcPr>
            <w:tcW w:type="dxa" w:w="4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PI Dr. Based leads proof review; engage external collaborator if needed in Month 3</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ZKML circuit exploit PoC takes longer than expected</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Scope down to theoretical formal conditions if PoC is delayed; publish separately</w:t>
            </w:r>
          </w:p>
        </w:tc>
      </w:tr>
      <w:tr>
        <w:trPr>
          <w:tblHeader w:val="false"/>
        </w:trP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PQC benchmarks show unacceptable overhead with no clear mitigation</w:t>
            </w:r>
          </w:p>
        </w:tc>
        <w:tc>
          <w:tcPr>
            <w:tcW w:type="dxa" w:w="11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Low</w:t>
            </w:r>
          </w:p>
        </w:tc>
        <w:tc>
          <w:tcPr>
            <w:tcW w:type="dxa" w:w="11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High</w:t>
            </w:r>
          </w:p>
        </w:tc>
        <w:tc>
          <w:tcPr>
            <w:tcW w:type="dxa" w:w="4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Reframe as a negative result contribution — equally publishable and valuable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Team member drops out mid-project</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Low</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Document all work weekly; each member maintains a progress log accessible to all</w:t>
            </w:r>
          </w:p>
        </w:tc>
      </w:tr>
      <w:tr>
        <w:trPr>
          <w:tblHeader w:val="false"/>
        </w:trP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Target Q1 journal desk-rejects</w:t>
            </w:r>
          </w:p>
        </w:tc>
        <w:tc>
          <w:tcPr>
            <w:tcW w:type="dxa" w:w="11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Low</w:t>
            </w:r>
          </w:p>
        </w:tc>
        <w:tc>
          <w:tcPr>
            <w:tcW w:type="dxa" w:w="11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Medium</w:t>
            </w:r>
          </w:p>
        </w:tc>
        <w:tc>
          <w:tcPr>
            <w:tcW w:type="dxa" w:w="4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Prepare backup venue list (FGCS, JNCA); rejection feedback informs revision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Simulation at 100 nodes deemed insufficient by reviewers</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Plan simulation scale-up to 500 nodes in Month 4 as contingency</w:t>
            </w:r>
          </w:p>
        </w:tc>
      </w:tr>
    </w:tbl>
    <w:p>
      <w:pPr>
        <w:spacing w:after="0" w:before="120"/>
      </w:pPr>
      <w:r>
        <w:t xml:space="preserve"/>
      </w:r>
    </w:p>
    <w:p>
      <w:pPr>
        <w:pStyle w:val="Heading1"/>
        <w:pBdr>
          <w:bottom w:val="single" w:color="2E75B6" w:sz="6" w:space="4"/>
        </w:pBdr>
        <w:spacing w:after="120" w:before="360"/>
      </w:pPr>
      <w:r>
        <w:rPr>
          <w:rFonts w:ascii="Arial" w:cs="Arial" w:eastAsia="Arial" w:hAnsi="Arial"/>
          <w:b/>
          <w:bCs/>
          <w:color w:val="1F3864"/>
          <w:sz w:val="28"/>
          <w:szCs w:val="28"/>
        </w:rPr>
        <w:t xml:space="preserve">9. Ethical Considerations</w:t>
      </w:r>
    </w:p>
    <w:p>
      <w:pPr>
        <w:spacing w:after="80" w:before="80" w:line="360"/>
        <w:jc w:val="both"/>
      </w:pPr>
      <w:r>
        <w:rPr>
          <w:rFonts w:ascii="Arial" w:cs="Arial" w:eastAsia="Arial" w:hAnsi="Arial"/>
          <w:sz w:val="22"/>
          <w:szCs w:val="22"/>
        </w:rPr>
        <w:t xml:space="preserve">This research is purely theoretical and computational in nature. No human subjects research is involved. All datasets used in simulation are synthetically generated. All software implementations will be released open-source under an MIT license upon publication, in accordance with reproducible research principles. All referenced works will be properly cited in accordance with IEEE and ACM publication standards. AI-generated code or text, if any, will be disclosed in accordance with target journal policies.</w:t>
      </w:r>
    </w:p>
    <w:p>
      <w:pPr>
        <w:spacing w:after="0" w:before="120"/>
      </w:pPr>
      <w:r>
        <w:t xml:space="preserve"/>
      </w:r>
    </w:p>
    <w:p>
      <w:pPr>
        <w:pStyle w:val="Heading1"/>
        <w:pBdr>
          <w:bottom w:val="single" w:color="2E75B6" w:sz="6" w:space="4"/>
        </w:pBdr>
        <w:spacing w:after="120" w:before="360"/>
      </w:pPr>
      <w:r>
        <w:rPr>
          <w:rFonts w:ascii="Arial" w:cs="Arial" w:eastAsia="Arial" w:hAnsi="Arial"/>
          <w:b/>
          <w:bCs/>
          <w:color w:val="1F3864"/>
          <w:sz w:val="28"/>
          <w:szCs w:val="28"/>
        </w:rPr>
        <w:t xml:space="preserve">10. Initial Reference List</w:t>
      </w:r>
    </w:p>
    <w:p>
      <w:pPr>
        <w:spacing w:after="80" w:before="80" w:line="360"/>
        <w:jc w:val="both"/>
      </w:pPr>
      <w:r>
        <w:rPr>
          <w:rFonts w:ascii="Arial" w:cs="Arial" w:eastAsia="Arial" w:hAnsi="Arial"/>
          <w:sz w:val="22"/>
          <w:szCs w:val="22"/>
        </w:rPr>
        <w:t xml:space="preserve">The following references constitute the initial core of the literature base. The full systematic review will target 60+ papers.</w:t>
      </w:r>
    </w:p>
    <w:p>
      <w:pPr>
        <w:spacing w:after="0" w:before="60"/>
      </w:pPr>
      <w:r>
        <w:t xml:space="preserve"/>
      </w:r>
    </w:p>
    <w:p>
      <w:pPr>
        <w:pStyle w:val="ListParagraph"/>
        <w:numPr>
          <w:ilvl w:val="0"/>
          <w:numId w:val="3"/>
        </w:numPr>
        <w:spacing w:after="60" w:before="60"/>
      </w:pPr>
      <w:r>
        <w:rPr>
          <w:rFonts w:ascii="Arial" w:cs="Arial" w:eastAsia="Arial" w:hAnsi="Arial"/>
          <w:sz w:val="22"/>
          <w:szCs w:val="22"/>
        </w:rPr>
        <w:t xml:space="preserve">[1] Nakamoto, S. (2008). Bitcoin: A Peer-to-Peer Electronic Cash System. bitcoin.org/bitcoin.pdf</w:t>
      </w:r>
    </w:p>
    <w:p>
      <w:pPr>
        <w:pStyle w:val="ListParagraph"/>
        <w:numPr>
          <w:ilvl w:val="0"/>
          <w:numId w:val="3"/>
        </w:numPr>
        <w:spacing w:after="60" w:before="60"/>
      </w:pPr>
      <w:r>
        <w:rPr>
          <w:rFonts w:ascii="Arial" w:cs="Arial" w:eastAsia="Arial" w:hAnsi="Arial"/>
          <w:sz w:val="22"/>
          <w:szCs w:val="22"/>
        </w:rPr>
        <w:t xml:space="preserve">[2] Peng, Z., et al. (2025). A Survey of Zero-Knowledge Proof Based Verifiable Machine Learning. arXiv:2502.18535.</w:t>
      </w:r>
    </w:p>
    <w:p>
      <w:pPr>
        <w:pStyle w:val="ListParagraph"/>
        <w:numPr>
          <w:ilvl w:val="0"/>
          <w:numId w:val="3"/>
        </w:numPr>
        <w:spacing w:after="60" w:before="60"/>
      </w:pPr>
      <w:r>
        <w:rPr>
          <w:rFonts w:ascii="Arial" w:cs="Arial" w:eastAsia="Arial" w:hAnsi="Arial"/>
          <w:sz w:val="22"/>
          <w:szCs w:val="22"/>
        </w:rPr>
        <w:t xml:space="preserve">[3] NIST. (2024). Post-Quantum Cryptography Standards: ML-KEM (FIPS 203), ML-DSA (FIPS 204). U.S. Department of Commerce.</w:t>
      </w:r>
    </w:p>
    <w:p>
      <w:pPr>
        <w:pStyle w:val="ListParagraph"/>
        <w:numPr>
          <w:ilvl w:val="0"/>
          <w:numId w:val="3"/>
        </w:numPr>
        <w:spacing w:after="60" w:before="60"/>
      </w:pPr>
      <w:r>
        <w:rPr>
          <w:rFonts w:ascii="Arial" w:cs="Arial" w:eastAsia="Arial" w:hAnsi="Arial"/>
          <w:sz w:val="22"/>
          <w:szCs w:val="22"/>
        </w:rPr>
        <w:t xml:space="preserve">[4] Schemitt, D., et al. (2025). Quantum Disruption: An SOK of How Post-Quantum Attackers Reshape Blockchain Security and Performance. arXiv:2512.13333.</w:t>
      </w:r>
    </w:p>
    <w:p>
      <w:pPr>
        <w:pStyle w:val="ListParagraph"/>
        <w:numPr>
          <w:ilvl w:val="0"/>
          <w:numId w:val="3"/>
        </w:numPr>
        <w:spacing w:after="60" w:before="60"/>
      </w:pPr>
      <w:r>
        <w:rPr>
          <w:rFonts w:ascii="Arial" w:cs="Arial" w:eastAsia="Arial" w:hAnsi="Arial"/>
          <w:sz w:val="22"/>
          <w:szCs w:val="22"/>
        </w:rPr>
        <w:t xml:space="preserve">[5] Chong, Z.-K., Ohsaki, H., &amp; Ng, B. (2025). Proof of Useful Intelligence (PoUI): Blockchain Consensus Beyond Energy Waste. arXiv:2504.17539.</w:t>
      </w:r>
    </w:p>
    <w:p>
      <w:pPr>
        <w:pStyle w:val="ListParagraph"/>
        <w:numPr>
          <w:ilvl w:val="0"/>
          <w:numId w:val="3"/>
        </w:numPr>
        <w:spacing w:after="60" w:before="60"/>
      </w:pPr>
      <w:r>
        <w:rPr>
          <w:rFonts w:ascii="Arial" w:cs="Arial" w:eastAsia="Arial" w:hAnsi="Arial"/>
          <w:sz w:val="22"/>
          <w:szCs w:val="22"/>
        </w:rPr>
        <w:t xml:space="preserve">[6] Kudelski Security. (2025). ZKML: Verifiable Machine Learning using Zero-Knowledge Proof. Technical Report.</w:t>
      </w:r>
    </w:p>
    <w:p>
      <w:pPr>
        <w:pStyle w:val="ListParagraph"/>
        <w:numPr>
          <w:ilvl w:val="0"/>
          <w:numId w:val="3"/>
        </w:numPr>
        <w:spacing w:after="60" w:before="60"/>
      </w:pPr>
      <w:r>
        <w:rPr>
          <w:rFonts w:ascii="Arial" w:cs="Arial" w:eastAsia="Arial" w:hAnsi="Arial"/>
          <w:sz w:val="22"/>
          <w:szCs w:val="22"/>
        </w:rPr>
        <w:t xml:space="preserve">[7] [Author et al.] (2020). A Proof of Useful Work for Artificial Intelligence on the Blockchain. arXiv:2001.09244.</w:t>
      </w:r>
    </w:p>
    <w:p>
      <w:pPr>
        <w:pStyle w:val="ListParagraph"/>
        <w:numPr>
          <w:ilvl w:val="0"/>
          <w:numId w:val="3"/>
        </w:numPr>
        <w:spacing w:after="60" w:before="60"/>
      </w:pPr>
      <w:r>
        <w:rPr>
          <w:rFonts w:ascii="Arial" w:cs="Arial" w:eastAsia="Arial" w:hAnsi="Arial"/>
          <w:sz w:val="22"/>
          <w:szCs w:val="22"/>
        </w:rPr>
        <w:t xml:space="preserve">[8] Sengottaiyan, K., &amp; Jasrotia, M.S. (2024). AI-Powered Consensus Mechanisms in Blockchain. Journal of Artificial Intelligence Research.</w:t>
      </w:r>
    </w:p>
    <w:p>
      <w:pPr>
        <w:pStyle w:val="ListParagraph"/>
        <w:numPr>
          <w:ilvl w:val="0"/>
          <w:numId w:val="3"/>
        </w:numPr>
        <w:spacing w:after="60" w:before="60"/>
      </w:pPr>
      <w:r>
        <w:rPr>
          <w:rFonts w:ascii="Arial" w:cs="Arial" w:eastAsia="Arial" w:hAnsi="Arial"/>
          <w:sz w:val="22"/>
          <w:szCs w:val="22"/>
        </w:rPr>
        <w:t xml:space="preserve">[9] Pailoor, S., et al. (2023). Automated Detection of Underconstrained Circuits for Zero-Knowledge Proofs. Proceedings of CCS 2023.</w:t>
      </w:r>
    </w:p>
    <w:p>
      <w:pPr>
        <w:pStyle w:val="ListParagraph"/>
        <w:numPr>
          <w:ilvl w:val="0"/>
          <w:numId w:val="3"/>
        </w:numPr>
        <w:spacing w:after="60" w:before="60"/>
      </w:pPr>
      <w:r>
        <w:rPr>
          <w:rFonts w:ascii="Arial" w:cs="Arial" w:eastAsia="Arial" w:hAnsi="Arial"/>
          <w:sz w:val="22"/>
          <w:szCs w:val="22"/>
        </w:rPr>
        <w:t xml:space="preserve">[10] [Author et al.] (2025). Assessing the Impact of Post-Quantum Digital Signature Algorithms on Blockchains. arXiv:2510.09271.</w:t>
      </w:r>
    </w:p>
    <w:p>
      <w:pPr>
        <w:pStyle w:val="ListParagraph"/>
        <w:numPr>
          <w:ilvl w:val="0"/>
          <w:numId w:val="3"/>
        </w:numPr>
        <w:spacing w:after="60" w:before="60"/>
      </w:pPr>
      <w:r>
        <w:rPr>
          <w:rFonts w:ascii="Arial" w:cs="Arial" w:eastAsia="Arial" w:hAnsi="Arial"/>
          <w:sz w:val="22"/>
          <w:szCs w:val="22"/>
        </w:rPr>
        <w:t xml:space="preserve">[11] [Author et al.] (2024). Fostering AI alignment through blockchain, proof of personhood and zero knowledge proofs. Cluster Computing, Springer.</w:t>
      </w:r>
    </w:p>
    <w:p>
      <w:pPr>
        <w:pStyle w:val="ListParagraph"/>
        <w:numPr>
          <w:ilvl w:val="0"/>
          <w:numId w:val="3"/>
        </w:numPr>
        <w:spacing w:after="60" w:before="60"/>
      </w:pPr>
      <w:r>
        <w:rPr>
          <w:rFonts w:ascii="Arial" w:cs="Arial" w:eastAsia="Arial" w:hAnsi="Arial"/>
          <w:sz w:val="22"/>
          <w:szCs w:val="22"/>
        </w:rPr>
        <w:t xml:space="preserve">[12] Chhetri, B., et al. (2025). Blockchain Security Risk Assessment in Quantum Era, Migration Strategies and Proactive Defense. arXiv:2501.11798.</w:t>
      </w:r>
    </w:p>
    <w:p>
      <w:pPr>
        <w:pStyle w:val="ListParagraph"/>
        <w:numPr>
          <w:ilvl w:val="0"/>
          <w:numId w:val="3"/>
        </w:numPr>
        <w:spacing w:after="60" w:before="60"/>
      </w:pPr>
      <w:r>
        <w:rPr>
          <w:rFonts w:ascii="Arial" w:cs="Arial" w:eastAsia="Arial" w:hAnsi="Arial"/>
          <w:sz w:val="22"/>
          <w:szCs w:val="22"/>
        </w:rPr>
        <w:t xml:space="preserve">[13] Buterin, V. (2020). Ethereum 2.0 and Proof of Stake: Technical Overview. ethereum.org</w:t>
      </w:r>
    </w:p>
    <w:p>
      <w:pPr>
        <w:pStyle w:val="ListParagraph"/>
        <w:numPr>
          <w:ilvl w:val="0"/>
          <w:numId w:val="3"/>
        </w:numPr>
        <w:spacing w:after="60" w:before="60"/>
      </w:pPr>
      <w:r>
        <w:rPr>
          <w:rFonts w:ascii="Arial" w:cs="Arial" w:eastAsia="Arial" w:hAnsi="Arial"/>
          <w:sz w:val="22"/>
          <w:szCs w:val="22"/>
        </w:rPr>
        <w:t xml:space="preserve">[14] Bittensor Foundation. (2024–2026). Bittensor Protocol Documentation and Whitepaper. bittensor.com</w:t>
      </w:r>
    </w:p>
    <w:p>
      <w:pPr>
        <w:spacing w:after="0" w:before="120"/>
      </w:pPr>
      <w:r>
        <w:t xml:space="preserve"/>
      </w:r>
    </w:p>
    <w:p>
      <w:pPr>
        <w:pStyle w:val="Heading1"/>
        <w:pBdr>
          <w:bottom w:val="single" w:color="2E75B6" w:sz="6" w:space="4"/>
        </w:pBdr>
        <w:spacing w:after="120" w:before="360"/>
      </w:pPr>
      <w:r>
        <w:rPr>
          <w:rFonts w:ascii="Arial" w:cs="Arial" w:eastAsia="Arial" w:hAnsi="Arial"/>
          <w:b/>
          <w:bCs/>
          <w:color w:val="1F3864"/>
          <w:sz w:val="28"/>
          <w:szCs w:val="28"/>
        </w:rPr>
        <w:t xml:space="preserve">Approvals and Signatures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Signature</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Date</w:t>
            </w:r>
          </w:p>
        </w:tc>
      </w:tr>
      <w:tr>
        <w:trPr>
          <w:tblHeader w:val="false"/>
        </w:trP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Principal Investigator</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Prof. Dr. Md. Abdul Based</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
            </w:r>
          </w:p>
        </w:tc>
        <w:tc>
          <w:tcPr>
            <w:tcW w:type="dxa" w:w="2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June 2026</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Team Lead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Md. Mehedi Hasan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June 2026</w:t>
            </w:r>
          </w:p>
        </w:tc>
      </w:tr>
      <w:tr>
        <w:trPr>
          <w:tblHeader w:val="false"/>
        </w:trP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Member 1</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[Name]</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
            </w:r>
          </w:p>
        </w:tc>
        <w:tc>
          <w:tcPr>
            <w:tcW w:type="dxa" w:w="2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June 2026</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Member 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[Name]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June 2026</w:t>
            </w:r>
          </w:p>
        </w:tc>
      </w:tr>
      <w:tr>
        <w:trPr>
          <w:tblHeader w:val="false"/>
        </w:trP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Member 3</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[Name]</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
            </w:r>
          </w:p>
        </w:tc>
        <w:tc>
          <w:tcPr>
            <w:tcW w:type="dxa" w:w="2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June 2026</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Member 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[Name]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June 2026</w:t>
            </w:r>
          </w:p>
        </w:tc>
      </w:tr>
    </w:tbl>
    <w:p>
      <w:pPr>
        <w:spacing w:after="0" w:before="200"/>
      </w:pPr>
      <w:r>
        <w:t xml:space="preserve"/>
      </w:r>
    </w:p>
    <w:p>
      <w:pPr>
        <w:spacing w:after="0" w:before="0"/>
        <w:jc w:val="center"/>
      </w:pPr>
      <w:r>
        <w:rPr>
          <w:rFonts w:ascii="Arial" w:cs="Arial" w:eastAsia="Arial" w:hAnsi="Arial"/>
          <w:i/>
          <w:iCs/>
          <w:color w:val="999999"/>
          <w:sz w:val="20"/>
          <w:szCs w:val="20"/>
        </w:rPr>
        <w:t xml:space="preserve">— End of Proposal —</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spacing w:after="0" w:before="120"/>
    </w:pPr>
    <w:r>
      <w:rPr>
        <w:rFonts w:ascii="Arial" w:cs="Arial" w:eastAsia="Arial" w:hAnsi="Arial"/>
        <w:color w:val="999999"/>
        <w:sz w:val="18"/>
        <w:szCs w:val="18"/>
      </w:rPr>
      <w:t xml:space="preserve">Confidential — For Academic Review Only</w:t>
    </w:r>
    <w:r>
      <w:rPr>
        <w:rFonts w:ascii="Arial" w:cs="Arial" w:eastAsia="Arial" w:hAnsi="Arial"/>
        <w:color w:val="666666"/>
        <w:sz w:val="18"/>
        <w:szCs w:val="18"/>
      </w:rPr>
      <w:t xml:space="preserve">	Page </w:t>
    </w:r>
    <w:r>
      <w:rPr>
        <w:rFonts w:ascii="Arial" w:cs="Arial" w:eastAsia="Arial" w:hAnsi="Arial"/>
        <w:color w:val="666666"/>
        <w:sz w:val="18"/>
        <w:szCs w:val="18"/>
      </w:rPr>
      <w:t xml:space="preserve">	Page [N]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before="0"/>
    </w:pPr>
    <w:r>
      <w:rPr>
        <w:rFonts w:ascii="Arial" w:cs="Arial" w:eastAsia="Arial" w:hAnsi="Arial"/>
        <w:b/>
        <w:bCs/>
        <w:color w:val="666666"/>
        <w:sz w:val="18"/>
        <w:szCs w:val="18"/>
      </w:rPr>
      <w:t xml:space="preserve">RESEARCH PROPOSAL  |  AI-Native Blockchain Framework</w:t>
    </w:r>
    <w:r>
      <w:rPr>
        <w:rFonts w:ascii="Arial" w:cs="Arial" w:eastAsia="Arial" w:hAnsi="Arial"/>
        <w:color w:val="999999"/>
        <w:sz w:val="18"/>
        <w:szCs w:val="18"/>
      </w:rPr>
      <w:t xml:space="preserve">  |  DIU CPC Research Group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2026-06-06T06:10:35.436Z</dcterms:created>
  <dcterms:modified xsi:type="dcterms:W3CDTF">2026-06-06T06:10:35.436Z</dcterms:modified>
</cp:coreProperties>
</file>

<file path=docProps/custom.xml><?xml version="1.0" encoding="utf-8"?>
<Properties xmlns="http://schemas.openxmlformats.org/officeDocument/2006/custom-properties" xmlns:vt="http://schemas.openxmlformats.org/officeDocument/2006/docPropsVTypes"/>
</file>