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88" w:lineRule="auto" w:before="480" w:after="360"/>
        <w:jc w:val="center"/>
      </w:pPr>
      <w:r>
        <w:rPr>
          <w:rFonts w:ascii="Times New Roman" w:hAnsi="Times New Roman"/>
          <w:b/>
          <w:i w:val="0"/>
          <w:color w:val="000000"/>
          <w:sz w:val="48"/>
        </w:rPr>
        <w:t>Contrastive Embedding-Based Detection of Socio-Technical Prompt Injection and Jailbreak Attacks in LLM-Integrated Applications</w:t>
      </w:r>
    </w:p>
    <w:p>
      <w:pPr>
        <w:spacing w:line="360" w:lineRule="auto" w:before="0" w:after="480"/>
        <w:jc w:val="center"/>
      </w:pPr>
      <w:r>
        <w:rPr>
          <w:rFonts w:ascii="Times New Roman" w:hAnsi="Times New Roman"/>
          <w:b w:val="0"/>
          <w:i/>
          <w:color w:val="000000"/>
          <w:sz w:val="26"/>
        </w:rPr>
        <w:t>This project is submitted to the Department of Computer Science and Engineering, Dhaka International University, in partial fulfillment to the requirements of Bachelor of Science (B. Sc.) in Computer Science and Engineering (CSE).</w:t>
      </w:r>
    </w:p>
    <w:p>
      <w:pPr>
        <w:spacing w:line="276" w:lineRule="auto" w:before="0" w:after="240"/>
        <w:jc w:val="center"/>
      </w:pPr>
      <w:r>
        <w:rPr>
          <w:rFonts w:ascii="Times New Roman" w:hAnsi="Times New Roman"/>
          <w:b/>
          <w:i w:val="0"/>
          <w:color w:val="000000"/>
          <w:sz w:val="28"/>
        </w:rPr>
        <w:t>Submitted By</w:t>
      </w:r>
    </w:p>
    <w:tbl>
      <w:tblPr>
        <w:tblW w:type="auto" w:w="0"/>
        <w:jc w:val="center"/>
        <w:tblLook w:firstColumn="1" w:firstRow="1" w:lastColumn="0" w:lastRow="0" w:noHBand="0" w:noVBand="1" w:val="04A0"/>
      </w:tblPr>
      <w:tblGrid>
        <w:gridCol w:w="3000"/>
        <w:gridCol w:w="3000"/>
        <w:gridCol w:w="3000"/>
      </w:tblGrid>
      <w:tr>
        <w:tc>
          <w:tcPr>
            <w:tcW w:type="dxa" w:w="3000"/>
          </w:tcPr>
          <w:p>
            <w:pPr>
              <w:jc w:val="center"/>
            </w:pPr>
            <w:r>
              <w:rPr>
                <w:rFonts w:ascii="Times New Roman" w:hAnsi="Times New Roman"/>
                <w:b/>
                <w:sz w:val="24"/>
              </w:rPr>
              <w:t>Name</w:t>
            </w:r>
          </w:p>
        </w:tc>
        <w:tc>
          <w:tcPr>
            <w:tcW w:type="dxa" w:w="3000"/>
          </w:tcPr>
          <w:p>
            <w:pPr>
              <w:jc w:val="center"/>
            </w:pPr>
            <w:r>
              <w:rPr>
                <w:rFonts w:ascii="Times New Roman" w:hAnsi="Times New Roman"/>
                <w:b/>
                <w:sz w:val="24"/>
              </w:rPr>
              <w:t>Reg. No</w:t>
            </w:r>
          </w:p>
        </w:tc>
        <w:tc>
          <w:tcPr>
            <w:tcW w:type="dxa" w:w="3000"/>
          </w:tcPr>
          <w:p>
            <w:pPr>
              <w:jc w:val="center"/>
            </w:pPr>
            <w:r>
              <w:rPr>
                <w:rFonts w:ascii="Times New Roman" w:hAnsi="Times New Roman"/>
                <w:b/>
                <w:sz w:val="24"/>
              </w:rPr>
              <w:t>Roll No</w:t>
            </w:r>
          </w:p>
        </w:tc>
      </w:tr>
      <w:tr>
        <w:tc>
          <w:tcPr>
            <w:tcW w:type="dxa" w:w="3000"/>
          </w:tcPr>
          <w:p>
            <w:pPr>
              <w:jc w:val="center"/>
            </w:pPr>
            <w:r>
              <w:rPr>
                <w:rFonts w:ascii="Times New Roman" w:hAnsi="Times New Roman"/>
                <w:b/>
                <w:sz w:val="24"/>
              </w:rPr>
              <w:t>Md. Mehedi Hasan</w:t>
            </w:r>
          </w:p>
        </w:tc>
        <w:tc>
          <w:tcPr>
            <w:tcW w:type="dxa" w:w="3000"/>
          </w:tcPr>
          <w:p>
            <w:pPr>
              <w:jc w:val="center"/>
            </w:pPr>
            <w:r>
              <w:rPr>
                <w:rFonts w:ascii="Times New Roman" w:hAnsi="Times New Roman"/>
                <w:b/>
                <w:sz w:val="24"/>
              </w:rPr>
              <w:t>236514</w:t>
            </w:r>
          </w:p>
        </w:tc>
        <w:tc>
          <w:tcPr>
            <w:tcW w:type="dxa" w:w="3000"/>
          </w:tcPr>
          <w:p>
            <w:pPr>
              <w:jc w:val="center"/>
            </w:pPr>
            <w:r>
              <w:rPr>
                <w:rFonts w:ascii="Times New Roman" w:hAnsi="Times New Roman"/>
                <w:b/>
                <w:sz w:val="24"/>
              </w:rPr>
              <w:t>01</w:t>
            </w:r>
          </w:p>
        </w:tc>
      </w:tr>
    </w:tbl>
    <w:p>
      <w:pPr>
        <w:spacing w:line="276" w:lineRule="auto" w:before="360" w:after="80"/>
        <w:jc w:val="center"/>
      </w:pPr>
      <w:r>
        <w:rPr>
          <w:rFonts w:ascii="Times New Roman" w:hAnsi="Times New Roman"/>
          <w:b/>
          <w:i w:val="0"/>
          <w:color w:val="000000"/>
          <w:sz w:val="30"/>
        </w:rPr>
        <w:br/>
        <w:t>CSE-425, Project Work / Thesis</w:t>
      </w:r>
    </w:p>
    <w:p>
      <w:pPr>
        <w:spacing w:line="276" w:lineRule="auto" w:before="0" w:after="480"/>
        <w:jc w:val="center"/>
      </w:pPr>
      <w:r>
        <w:rPr>
          <w:rFonts w:ascii="Times New Roman" w:hAnsi="Times New Roman"/>
          <w:b w:val="0"/>
          <w:i w:val="0"/>
          <w:color w:val="000000"/>
          <w:sz w:val="24"/>
        </w:rPr>
        <w:t>Batch: 62nd (1st Shift), Session: 2021-22</w:t>
      </w:r>
    </w:p>
    <w:p>
      <w:pPr>
        <w:spacing w:line="276" w:lineRule="auto" w:before="0" w:after="120"/>
        <w:jc w:val="center"/>
      </w:pPr>
      <w:r>
        <w:rPr>
          <w:rFonts w:ascii="Times New Roman" w:hAnsi="Times New Roman"/>
          <w:b/>
          <w:i w:val="0"/>
          <w:color w:val="000000"/>
          <w:sz w:val="28"/>
        </w:rPr>
        <w:t>Supervised By</w:t>
      </w:r>
    </w:p>
    <w:p>
      <w:pPr>
        <w:spacing w:line="276" w:lineRule="auto" w:before="0" w:after="40"/>
        <w:jc w:val="center"/>
      </w:pPr>
      <w:r>
        <w:rPr>
          <w:rFonts w:ascii="Times New Roman" w:hAnsi="Times New Roman"/>
          <w:b/>
          <w:i w:val="0"/>
          <w:color w:val="000000"/>
          <w:sz w:val="28"/>
        </w:rPr>
        <w:t>Prof. Dr. Md. Abdul Based</w:t>
      </w:r>
    </w:p>
    <w:p>
      <w:pPr>
        <w:spacing w:line="276" w:lineRule="auto" w:before="0" w:after="40"/>
        <w:jc w:val="center"/>
      </w:pPr>
      <w:r>
        <w:rPr>
          <w:rFonts w:ascii="Times New Roman" w:hAnsi="Times New Roman"/>
          <w:b w:val="0"/>
          <w:i w:val="0"/>
          <w:color w:val="000000"/>
          <w:sz w:val="24"/>
        </w:rPr>
        <w:t>Head, Department of Computer Science &amp; Engineering</w:t>
      </w:r>
    </w:p>
    <w:p>
      <w:pPr>
        <w:spacing w:line="276" w:lineRule="auto" w:before="0" w:after="480"/>
        <w:jc w:val="center"/>
      </w:pPr>
      <w:r>
        <w:rPr>
          <w:rFonts w:ascii="Times New Roman" w:hAnsi="Times New Roman"/>
          <w:b w:val="0"/>
          <w:i w:val="0"/>
          <w:color w:val="000000"/>
          <w:sz w:val="24"/>
        </w:rPr>
        <w:t>Faculty of Science and Engineering</w:t>
        <w:br/>
        <w:t>Dhaka International University</w:t>
        <w:br/>
        <w:t>Dhaka, Bangladesh</w:t>
      </w:r>
    </w:p>
    <w:p>
      <w:pPr>
        <w:spacing w:line="276" w:lineRule="auto" w:before="0" w:after="120"/>
        <w:jc w:val="center"/>
      </w:pPr>
      <w:r>
        <w:rPr>
          <w:rFonts w:ascii="Times New Roman" w:hAnsi="Times New Roman"/>
          <w:b/>
          <w:i w:val="0"/>
          <w:color w:val="000000"/>
          <w:sz w:val="28"/>
        </w:rPr>
        <w:t>September-2026</w:t>
      </w:r>
    </w:p>
    <w:p>
      <w:r>
        <w:br w:type="page"/>
      </w:r>
    </w:p>
    <w:p>
      <w:pPr>
        <w:spacing w:line="276" w:lineRule="auto" w:before="0" w:after="360"/>
        <w:jc w:val="center"/>
      </w:pPr>
      <w:r>
        <w:rPr>
          <w:rFonts w:ascii="Times New Roman" w:hAnsi="Times New Roman"/>
          <w:b/>
          <w:i w:val="0"/>
          <w:color w:val="000000"/>
          <w:sz w:val="40"/>
        </w:rPr>
        <w:t>Declaration</w:t>
      </w:r>
    </w:p>
    <w:p>
      <w:pPr>
        <w:spacing w:line="360" w:lineRule="auto" w:before="0" w:after="720"/>
        <w:jc w:val="left"/>
      </w:pPr>
      <w:r>
        <w:rPr>
          <w:rFonts w:ascii="Times New Roman" w:hAnsi="Times New Roman"/>
          <w:b w:val="0"/>
          <w:i w:val="0"/>
          <w:color w:val="000000"/>
          <w:sz w:val="26"/>
        </w:rPr>
        <w:t>We hereby declare that; this project report entitled “Contrastive Embedding-Based Detection of Socio-Technical Prompt Injection and Jailbreak Attacks in LLM-Integrated Applications” has been carried out by us and it has been submitted for the award of the B.Sc. degree. We also certify that this project was prepared by us for the purpose of fulfillment of the requirements for the Bachelor of Science (B.Sc.) in Computer Science and Engineering, Department of Computer Science and Engineering, Dhaka International University.</w:t>
      </w:r>
    </w:p>
    <w:p>
      <w:pPr>
        <w:spacing w:line="276" w:lineRule="auto" w:before="0" w:after="600"/>
        <w:jc w:val="left"/>
      </w:pPr>
      <w:r>
        <w:rPr>
          <w:rFonts w:ascii="Times New Roman" w:hAnsi="Times New Roman"/>
          <w:b/>
          <w:i w:val="0"/>
          <w:color w:val="000000"/>
          <w:sz w:val="24"/>
        </w:rPr>
        <w:t>Authors Signature:</w:t>
      </w:r>
    </w:p>
    <w:p>
      <w:pPr>
        <w:spacing w:line="312" w:lineRule="auto" w:before="0" w:after="120"/>
        <w:jc w:val="left"/>
      </w:pPr>
      <w:r>
        <w:rPr>
          <w:rFonts w:ascii="Times New Roman" w:hAnsi="Times New Roman"/>
          <w:b w:val="0"/>
          <w:i w:val="0"/>
          <w:color w:val="000000"/>
          <w:sz w:val="24"/>
        </w:rPr>
        <w:t>......................................................................</w:t>
        <w:br/>
        <w:t>Md. Mehedi Hasan</w:t>
        <w:br/>
        <w:t>B.Sc. in CSE, Roll No: 01, Reg. No: 236514</w:t>
        <w:br/>
        <w:t>Shift: 1st, Batch: 62nd, Session: 2021-22</w:t>
        <w:br/>
        <w:t>Dhaka International University</w:t>
      </w:r>
    </w:p>
    <w:p>
      <w:r>
        <w:br w:type="page"/>
      </w:r>
    </w:p>
    <w:p>
      <w:pPr>
        <w:spacing w:line="276" w:lineRule="auto" w:before="0" w:after="360"/>
        <w:jc w:val="center"/>
      </w:pPr>
      <w:r>
        <w:rPr>
          <w:rFonts w:ascii="Times New Roman" w:hAnsi="Times New Roman"/>
          <w:b/>
          <w:i w:val="0"/>
          <w:color w:val="000000"/>
          <w:sz w:val="40"/>
        </w:rPr>
        <w:t>Supervisor’s Statement</w:t>
      </w:r>
    </w:p>
    <w:p>
      <w:pPr>
        <w:spacing w:line="360" w:lineRule="auto" w:before="0" w:after="800"/>
        <w:jc w:val="left"/>
      </w:pPr>
      <w:r>
        <w:rPr>
          <w:rFonts w:ascii="Times New Roman" w:hAnsi="Times New Roman"/>
          <w:b w:val="0"/>
          <w:i w:val="0"/>
          <w:color w:val="000000"/>
          <w:sz w:val="26"/>
        </w:rPr>
        <w:t>This is to certify that the project paper entitled as “Contrastive Embedding-Based Detection of Socio-Technical Prompt Injection and Jailbreak Attacks in LLM-Integrated Applications” submitted by Md. Mehedi Hasan, Roll No: 01, Reg. No: 236514, has been carried out under my direct supervision. This project has been prepared in partial fulfillment of the requirement for the Degree of B.Sc. in Computer Science &amp; Engineering, Department of Computer Science &amp; Engineering, Dhaka International University, Dhaka, Bangladesh. The results presented in this report have not been submitted to any other university or institute for any degree or award.</w:t>
      </w:r>
    </w:p>
    <w:p>
      <w:pPr>
        <w:spacing w:line="312" w:lineRule="auto" w:before="0" w:after="120"/>
        <w:jc w:val="left"/>
      </w:pPr>
      <w:r>
        <w:rPr>
          <w:rFonts w:ascii="Times New Roman" w:hAnsi="Times New Roman"/>
          <w:b w:val="0"/>
          <w:i w:val="0"/>
          <w:color w:val="000000"/>
          <w:sz w:val="24"/>
        </w:rPr>
        <w:t>......................................................................</w:t>
        <w:br/>
        <w:t>Prof. Dr. Md. Abdul Based</w:t>
        <w:br/>
        <w:t>Head, Department of Computer Science &amp; Engineering</w:t>
        <w:br/>
        <w:t>Faculty of Science and Engineering</w:t>
        <w:br/>
        <w:t>Dhaka International University</w:t>
      </w:r>
    </w:p>
    <w:p>
      <w:r>
        <w:br w:type="page"/>
      </w:r>
    </w:p>
    <w:p>
      <w:pPr>
        <w:spacing w:line="276" w:lineRule="auto" w:before="0" w:after="360"/>
        <w:jc w:val="center"/>
      </w:pPr>
      <w:r>
        <w:rPr>
          <w:rFonts w:ascii="Times New Roman" w:hAnsi="Times New Roman"/>
          <w:b/>
          <w:i w:val="0"/>
          <w:color w:val="000000"/>
          <w:sz w:val="40"/>
        </w:rPr>
        <w:t>Approval</w:t>
      </w:r>
    </w:p>
    <w:p>
      <w:pPr>
        <w:spacing w:line="360" w:lineRule="auto" w:before="0" w:after="480"/>
        <w:jc w:val="left"/>
      </w:pPr>
      <w:r>
        <w:rPr>
          <w:rFonts w:ascii="Times New Roman" w:hAnsi="Times New Roman"/>
          <w:b w:val="0"/>
          <w:i w:val="0"/>
          <w:color w:val="000000"/>
          <w:sz w:val="26"/>
        </w:rPr>
        <w:t>The project report as “Contrastive Embedding-Based Detection of Socio-Technical Prompt Injection and Jailbreak Attacks in LLM-Integrated Applications” submitted by Md. Mehedi Hasan to the Department of Computer Science and Engineering, Dhaka International University, has been accepted as satisfactory for the partial fulfillment of the requirements for the degree of B.Sc. in Computer Science and Engineering and approved as to its style and contents.</w:t>
      </w:r>
    </w:p>
    <w:p>
      <w:pPr>
        <w:spacing w:line="276" w:lineRule="auto" w:before="0" w:after="480"/>
        <w:jc w:val="center"/>
      </w:pPr>
      <w:r>
        <w:rPr>
          <w:rFonts w:ascii="Times New Roman" w:hAnsi="Times New Roman"/>
          <w:b/>
          <w:i w:val="0"/>
          <w:color w:val="000000"/>
          <w:sz w:val="28"/>
        </w:rPr>
        <w:t>Board of Honorable Examiners</w:t>
      </w:r>
    </w:p>
    <w:p>
      <w:pPr>
        <w:spacing w:line="312" w:lineRule="auto" w:before="0" w:after="360"/>
        <w:jc w:val="left"/>
      </w:pPr>
      <w:r>
        <w:rPr>
          <w:rFonts w:ascii="Times New Roman" w:hAnsi="Times New Roman"/>
          <w:b w:val="0"/>
          <w:i w:val="0"/>
          <w:color w:val="000000"/>
          <w:sz w:val="24"/>
        </w:rPr>
        <w:t>1. ........................................................</w:t>
        <w:br/>
        <w:t xml:space="preserve">    Chairman (Supervisor)</w:t>
        <w:br/>
        <w:t xml:space="preserve">    Prof. Dr. Md. Abdul Based</w:t>
        <w:br/>
        <w:t xml:space="preserve">    Head, Department of CSE, DIU</w:t>
      </w:r>
    </w:p>
    <w:p>
      <w:pPr>
        <w:spacing w:line="312" w:lineRule="auto" w:before="0" w:after="360"/>
        <w:jc w:val="left"/>
      </w:pPr>
      <w:r>
        <w:rPr>
          <w:rFonts w:ascii="Times New Roman" w:hAnsi="Times New Roman"/>
          <w:b w:val="0"/>
          <w:i w:val="0"/>
          <w:color w:val="000000"/>
          <w:sz w:val="24"/>
        </w:rPr>
        <w:t>2. ........................................................</w:t>
        <w:br/>
        <w:t xml:space="preserve">    Internal Member</w:t>
        <w:br/>
        <w:t xml:space="preserve">    Department of CSE, DIU</w:t>
      </w:r>
    </w:p>
    <w:p>
      <w:pPr>
        <w:spacing w:line="312" w:lineRule="auto" w:before="0" w:after="360"/>
        <w:jc w:val="left"/>
      </w:pPr>
      <w:r>
        <w:rPr>
          <w:rFonts w:ascii="Times New Roman" w:hAnsi="Times New Roman"/>
          <w:b w:val="0"/>
          <w:i w:val="0"/>
          <w:color w:val="000000"/>
          <w:sz w:val="24"/>
        </w:rPr>
        <w:t>3. ........................................................</w:t>
        <w:br/>
        <w:t xml:space="preserve">    Internal Member</w:t>
        <w:br/>
        <w:t xml:space="preserve">    Department of CSE, DIU</w:t>
      </w:r>
    </w:p>
    <w:p>
      <w:pPr>
        <w:spacing w:line="312" w:lineRule="auto" w:before="0" w:after="360"/>
        <w:jc w:val="left"/>
      </w:pPr>
      <w:r>
        <w:rPr>
          <w:rFonts w:ascii="Times New Roman" w:hAnsi="Times New Roman"/>
          <w:b w:val="0"/>
          <w:i w:val="0"/>
          <w:color w:val="000000"/>
          <w:sz w:val="24"/>
        </w:rPr>
        <w:t>4. ........................................................</w:t>
        <w:br/>
        <w:t xml:space="preserve">    External Member</w:t>
      </w:r>
    </w:p>
    <w:p>
      <w:r>
        <w:br w:type="page"/>
      </w:r>
    </w:p>
    <w:p>
      <w:pPr>
        <w:spacing w:line="276" w:lineRule="auto" w:before="0" w:after="360"/>
        <w:jc w:val="center"/>
      </w:pPr>
      <w:r>
        <w:rPr>
          <w:rFonts w:ascii="Times New Roman" w:hAnsi="Times New Roman"/>
          <w:b/>
          <w:i w:val="0"/>
          <w:color w:val="000000"/>
          <w:sz w:val="40"/>
        </w:rPr>
        <w:t>Acknowledgements</w:t>
      </w:r>
    </w:p>
    <w:p>
      <w:pPr>
        <w:spacing w:line="360" w:lineRule="auto" w:before="0" w:after="120"/>
        <w:jc w:val="left"/>
      </w:pPr>
      <w:r>
        <w:rPr>
          <w:rFonts w:ascii="Times New Roman" w:hAnsi="Times New Roman"/>
          <w:b w:val="0"/>
          <w:i w:val="0"/>
          <w:color w:val="000000"/>
          <w:sz w:val="26"/>
        </w:rPr>
        <w:t>First and foremost, we express our profound gratitude to Almighty Allah for bestowing upon us the health, wisdom, and determination to complete this undergraduate research successfully.</w:t>
      </w:r>
    </w:p>
    <w:p>
      <w:pPr>
        <w:spacing w:line="360" w:lineRule="auto" w:before="0" w:after="120"/>
        <w:jc w:val="left"/>
      </w:pPr>
      <w:r>
        <w:rPr>
          <w:rFonts w:ascii="Times New Roman" w:hAnsi="Times New Roman"/>
          <w:b w:val="0"/>
          <w:i w:val="0"/>
          <w:color w:val="000000"/>
          <w:sz w:val="26"/>
        </w:rPr>
        <w:t>We wish to convey our deepest respect and sincere gratitude to our honorable supervisor, Prof. Dr. Md. Abdul Based, Head, Department of Computer Science &amp; Engineering, Dhaka International University. His insightful academic mentorship, invaluable critiques, and constant encouragement provided us with clear direction throughout every stage of this work.</w:t>
      </w:r>
    </w:p>
    <w:p>
      <w:pPr>
        <w:spacing w:line="360" w:lineRule="auto" w:before="0" w:after="120"/>
        <w:jc w:val="left"/>
      </w:pPr>
      <w:r>
        <w:rPr>
          <w:rFonts w:ascii="Times New Roman" w:hAnsi="Times New Roman"/>
          <w:b w:val="0"/>
          <w:i w:val="0"/>
          <w:color w:val="000000"/>
          <w:sz w:val="26"/>
        </w:rPr>
        <w:t>We also extend our gratefulness to all faculty members and staff of the Department of Computer Science &amp; Engineering for providing a vibrant academic environment and continuous administrative assistance.</w:t>
      </w:r>
    </w:p>
    <w:p>
      <w:pPr>
        <w:spacing w:line="360" w:lineRule="auto" w:before="0" w:after="120"/>
        <w:jc w:val="left"/>
      </w:pPr>
      <w:r>
        <w:rPr>
          <w:rFonts w:ascii="Times New Roman" w:hAnsi="Times New Roman"/>
          <w:b w:val="0"/>
          <w:i w:val="0"/>
          <w:color w:val="000000"/>
          <w:sz w:val="26"/>
        </w:rPr>
        <w:t>Finally, we dedicate this work to our beloved parents and family members whose unwavering moral support and endless prayers made this accomplishment possible.</w:t>
      </w:r>
    </w:p>
    <w:p>
      <w:r>
        <w:br w:type="page"/>
      </w:r>
    </w:p>
    <w:p>
      <w:pPr>
        <w:spacing w:line="276" w:lineRule="auto" w:before="0" w:after="360"/>
        <w:jc w:val="center"/>
      </w:pPr>
      <w:r>
        <w:rPr>
          <w:rFonts w:ascii="Times New Roman" w:hAnsi="Times New Roman"/>
          <w:b/>
          <w:i w:val="0"/>
          <w:color w:val="000000"/>
          <w:sz w:val="40"/>
        </w:rPr>
        <w:t>Abstract</w:t>
      </w:r>
    </w:p>
    <w:p>
      <w:pPr>
        <w:spacing w:line="360" w:lineRule="auto" w:before="0" w:after="120"/>
        <w:jc w:val="both"/>
      </w:pPr>
      <w:r>
        <w:rPr>
          <w:rFonts w:ascii="Times New Roman" w:hAnsi="Times New Roman"/>
          <w:b w:val="0"/>
          <w:i w:val="0"/>
          <w:color w:val="000000"/>
          <w:sz w:val="26"/>
        </w:rPr>
        <w:t>Large Language Model (LLM) integrated autonomous agents are increasingly vulnerable to socio-technical prompt injection and jailbreak attacks that weaponize human psychological manipulation (authority impersonation, urgency framing, empathy exploitation) and cross-cultural linguistic nuances (Bengali and code-switched Banglish) to circumvent base safety alignment. Conventional defenses rely on either brittle rule-based pattern matching or computationally expensive commercial guardrails that fail in low-resource environments. In this thesis, we propose a lightweight, explainable, and deployment-grounded pre-filter framework combining a DistilBERT encoder with a Supervised Contrastive Learning (InfoNCE) objective and strategic benign emotional hard-negative mining. Evaluated on a curated benchmark of 754 stratified samples across 8 distinct attack families, our proposed pre-filter achieves an AUROC of 0.975 (95% bootstrap CI: [0.938, 0.998]), a precision of 95.8%, and a median inference latency of 4.9 ms, comfortably satisfying the 25 ms production SLA. Crucially, contrastive representation learning reduces the False Positive Rate (FPR) by 50% (from 6.25% in cross-entropy to 3.12%), while ablation experiments demonstrate that omitting emotional hard-negatives causes emergency and medical query false alarms to jump from 0% to 80%. Furthermore, the framework achieves an 80.0% zero-shot detection rate on completely unseen empathy exploit attacks (RQ3) and maintains 98%–100% recall under extreme 30% adversarial obfuscation (RQ4) where naive regex collapses to 8%. Finally, our integrated explainability layer delivers human-interpretable forensic rationales and tactic attribution, significantly lowering the cognitive fatigue of security analysts during moderation audits.</w:t>
      </w:r>
    </w:p>
    <w:p>
      <w:r>
        <w:br w:type="page"/>
      </w:r>
    </w:p>
    <w:p>
      <w:pPr>
        <w:spacing w:line="276" w:lineRule="auto" w:before="0" w:after="360"/>
        <w:jc w:val="center"/>
      </w:pPr>
      <w:r>
        <w:rPr>
          <w:rFonts w:ascii="Times New Roman" w:hAnsi="Times New Roman"/>
          <w:b/>
          <w:i w:val="0"/>
          <w:color w:val="000000"/>
          <w:sz w:val="40"/>
        </w:rPr>
        <w:t>Table of Contents</w:t>
      </w:r>
    </w:p>
    <w:p>
      <w:pPr>
        <w:spacing w:line="276" w:lineRule="auto" w:after="60"/>
      </w:pPr>
      <w:r>
        <w:rPr>
          <w:rFonts w:ascii="Times New Roman" w:hAnsi="Times New Roman"/>
          <w:b/>
          <w:sz w:val="24"/>
        </w:rPr>
        <w:t>Declaration</w:t>
      </w:r>
      <w:r>
        <w:rPr>
          <w:rFonts w:ascii="Times New Roman" w:hAnsi="Times New Roman"/>
          <w:color w:val="787878"/>
          <w:sz w:val="20"/>
        </w:rPr>
        <w:t xml:space="preserve"> . . . . . . . . . . . . . . . . . . . . . . . . . . .</w:t>
      </w:r>
      <w:r>
        <w:rPr>
          <w:rFonts w:ascii="Times New Roman" w:hAnsi="Times New Roman"/>
          <w:b/>
          <w:sz w:val="24"/>
        </w:rPr>
        <w:t xml:space="preserve"> ii</w:t>
      </w:r>
    </w:p>
    <w:p>
      <w:pPr>
        <w:spacing w:line="276" w:lineRule="auto" w:after="60"/>
      </w:pPr>
      <w:r>
        <w:rPr>
          <w:rFonts w:ascii="Times New Roman" w:hAnsi="Times New Roman"/>
          <w:b/>
          <w:sz w:val="24"/>
        </w:rPr>
        <w:t>Supervisor’s Statement</w:t>
      </w:r>
      <w:r>
        <w:rPr>
          <w:rFonts w:ascii="Times New Roman" w:hAnsi="Times New Roman"/>
          <w:color w:val="787878"/>
          <w:sz w:val="20"/>
        </w:rPr>
        <w:t xml:space="preserve"> . . . . . . . . . . . . . . . . . . . . .</w:t>
      </w:r>
      <w:r>
        <w:rPr>
          <w:rFonts w:ascii="Times New Roman" w:hAnsi="Times New Roman"/>
          <w:b/>
          <w:sz w:val="24"/>
        </w:rPr>
        <w:t xml:space="preserve"> iii</w:t>
      </w:r>
    </w:p>
    <w:p>
      <w:pPr>
        <w:spacing w:line="276" w:lineRule="auto" w:after="60"/>
      </w:pPr>
      <w:r>
        <w:rPr>
          <w:rFonts w:ascii="Times New Roman" w:hAnsi="Times New Roman"/>
          <w:b/>
          <w:sz w:val="24"/>
        </w:rPr>
        <w:t>Approval</w:t>
      </w:r>
      <w:r>
        <w:rPr>
          <w:rFonts w:ascii="Times New Roman" w:hAnsi="Times New Roman"/>
          <w:color w:val="787878"/>
          <w:sz w:val="20"/>
        </w:rPr>
        <w:t xml:space="preserve"> . . . . . . . . . . . . . . . . . . . . . . . . . . . .</w:t>
      </w:r>
      <w:r>
        <w:rPr>
          <w:rFonts w:ascii="Times New Roman" w:hAnsi="Times New Roman"/>
          <w:b/>
          <w:sz w:val="24"/>
        </w:rPr>
        <w:t xml:space="preserve"> iv</w:t>
      </w:r>
    </w:p>
    <w:p>
      <w:pPr>
        <w:spacing w:line="276" w:lineRule="auto" w:after="60"/>
      </w:pPr>
      <w:r>
        <w:rPr>
          <w:rFonts w:ascii="Times New Roman" w:hAnsi="Times New Roman"/>
          <w:b/>
          <w:sz w:val="24"/>
        </w:rPr>
        <w:t>Acknowledgements</w:t>
      </w:r>
      <w:r>
        <w:rPr>
          <w:rFonts w:ascii="Times New Roman" w:hAnsi="Times New Roman"/>
          <w:color w:val="787878"/>
          <w:sz w:val="20"/>
        </w:rPr>
        <w:t xml:space="preserve"> . . . . . . . . . . . . . . . . . . . . . . . .</w:t>
      </w:r>
      <w:r>
        <w:rPr>
          <w:rFonts w:ascii="Times New Roman" w:hAnsi="Times New Roman"/>
          <w:b/>
          <w:sz w:val="24"/>
        </w:rPr>
        <w:t xml:space="preserve"> v</w:t>
      </w:r>
    </w:p>
    <w:p>
      <w:pPr>
        <w:spacing w:line="276" w:lineRule="auto" w:after="60"/>
      </w:pPr>
      <w:r>
        <w:rPr>
          <w:rFonts w:ascii="Times New Roman" w:hAnsi="Times New Roman"/>
          <w:b/>
          <w:sz w:val="24"/>
        </w:rPr>
        <w:t>Abstract</w:t>
      </w:r>
      <w:r>
        <w:rPr>
          <w:rFonts w:ascii="Times New Roman" w:hAnsi="Times New Roman"/>
          <w:color w:val="787878"/>
          <w:sz w:val="20"/>
        </w:rPr>
        <w:t xml:space="preserve"> . . . . . . . . . . . . . . . . . . . . . . . . . . . .</w:t>
      </w:r>
      <w:r>
        <w:rPr>
          <w:rFonts w:ascii="Times New Roman" w:hAnsi="Times New Roman"/>
          <w:b/>
          <w:sz w:val="24"/>
        </w:rPr>
        <w:t xml:space="preserve"> vi</w:t>
      </w:r>
    </w:p>
    <w:p>
      <w:pPr>
        <w:spacing w:line="276" w:lineRule="auto" w:after="60"/>
      </w:pPr>
      <w:r>
        <w:rPr>
          <w:rFonts w:ascii="Times New Roman" w:hAnsi="Times New Roman"/>
          <w:sz w:val="24"/>
        </w:rPr>
        <w:t>List of Figures</w:t>
      </w:r>
      <w:r>
        <w:rPr>
          <w:rFonts w:ascii="Times New Roman" w:hAnsi="Times New Roman"/>
          <w:color w:val="787878"/>
          <w:sz w:val="20"/>
        </w:rPr>
        <w:t xml:space="preserve"> . . . . . . . . . . . . . . . . . . . . . . . . .</w:t>
      </w:r>
      <w:r>
        <w:rPr>
          <w:rFonts w:ascii="Times New Roman" w:hAnsi="Times New Roman"/>
          <w:b/>
          <w:sz w:val="24"/>
        </w:rPr>
        <w:t xml:space="preserve"> ix</w:t>
      </w:r>
    </w:p>
    <w:p>
      <w:pPr>
        <w:spacing w:line="276" w:lineRule="auto" w:after="60"/>
      </w:pPr>
      <w:r>
        <w:rPr>
          <w:rFonts w:ascii="Times New Roman" w:hAnsi="Times New Roman"/>
          <w:sz w:val="24"/>
        </w:rPr>
        <w:t>List of Tables</w:t>
      </w:r>
      <w:r>
        <w:rPr>
          <w:rFonts w:ascii="Times New Roman" w:hAnsi="Times New Roman"/>
          <w:color w:val="787878"/>
          <w:sz w:val="20"/>
        </w:rPr>
        <w:t xml:space="preserve"> . . . . . . . . . . . . . . . . . . . . . . . . .</w:t>
      </w:r>
      <w:r>
        <w:rPr>
          <w:rFonts w:ascii="Times New Roman" w:hAnsi="Times New Roman"/>
          <w:b/>
          <w:sz w:val="24"/>
        </w:rPr>
        <w:t xml:space="preserve"> x</w:t>
      </w:r>
    </w:p>
    <w:p>
      <w:pPr>
        <w:spacing w:line="276" w:lineRule="auto" w:after="60"/>
      </w:pPr>
      <w:r>
        <w:rPr>
          <w:rFonts w:ascii="Times New Roman" w:hAnsi="Times New Roman"/>
          <w:b/>
          <w:sz w:val="24"/>
        </w:rPr>
        <w:t>Chapter 1: Introduction</w:t>
      </w:r>
      <w:r>
        <w:rPr>
          <w:rFonts w:ascii="Times New Roman" w:hAnsi="Times New Roman"/>
          <w:color w:val="787878"/>
          <w:sz w:val="20"/>
        </w:rPr>
        <w:t xml:space="preserve"> . . . . . . . . . . . . . . . . . . . . .</w:t>
      </w:r>
      <w:r>
        <w:rPr>
          <w:rFonts w:ascii="Times New Roman" w:hAnsi="Times New Roman"/>
          <w:b/>
          <w:sz w:val="24"/>
        </w:rPr>
        <w:t xml:space="preserve"> 1</w:t>
      </w:r>
    </w:p>
    <w:p>
      <w:pPr>
        <w:spacing w:line="276" w:lineRule="auto" w:after="60"/>
      </w:pPr>
      <w:r>
        <w:rPr>
          <w:rFonts w:ascii="Times New Roman" w:hAnsi="Times New Roman"/>
          <w:sz w:val="24"/>
        </w:rPr>
        <w:t xml:space="preserve">    1.1 Background and Motivation</w:t>
      </w:r>
      <w:r>
        <w:rPr>
          <w:rFonts w:ascii="Times New Roman" w:hAnsi="Times New Roman"/>
          <w:color w:val="787878"/>
          <w:sz w:val="20"/>
        </w:rPr>
        <w:t xml:space="preserve"> . . . . . . . . . . . . . . . .</w:t>
      </w:r>
      <w:r>
        <w:rPr>
          <w:rFonts w:ascii="Times New Roman" w:hAnsi="Times New Roman"/>
          <w:b/>
          <w:sz w:val="24"/>
        </w:rPr>
        <w:t xml:space="preserve"> 1</w:t>
      </w:r>
    </w:p>
    <w:p>
      <w:pPr>
        <w:spacing w:line="276" w:lineRule="auto" w:after="60"/>
      </w:pPr>
      <w:r>
        <w:rPr>
          <w:rFonts w:ascii="Times New Roman" w:hAnsi="Times New Roman"/>
          <w:sz w:val="24"/>
        </w:rPr>
        <w:t xml:space="preserve">    1.2 Problem Statement</w:t>
      </w:r>
      <w:r>
        <w:rPr>
          <w:rFonts w:ascii="Times New Roman" w:hAnsi="Times New Roman"/>
          <w:color w:val="787878"/>
          <w:sz w:val="20"/>
        </w:rPr>
        <w:t xml:space="preserve"> . . . . . . . . . . . . . . . . . . . .</w:t>
      </w:r>
      <w:r>
        <w:rPr>
          <w:rFonts w:ascii="Times New Roman" w:hAnsi="Times New Roman"/>
          <w:b/>
          <w:sz w:val="24"/>
        </w:rPr>
        <w:t xml:space="preserve"> 2</w:t>
      </w:r>
    </w:p>
    <w:p>
      <w:pPr>
        <w:spacing w:line="276" w:lineRule="auto" w:after="60"/>
      </w:pPr>
      <w:r>
        <w:rPr>
          <w:rFonts w:ascii="Times New Roman" w:hAnsi="Times New Roman"/>
          <w:sz w:val="24"/>
        </w:rPr>
        <w:t xml:space="preserve">    1.3 Research Objectives &amp; Questions (RQ1 - RQ6)</w:t>
      </w:r>
      <w:r>
        <w:rPr>
          <w:rFonts w:ascii="Times New Roman" w:hAnsi="Times New Roman"/>
          <w:color w:val="787878"/>
          <w:sz w:val="20"/>
        </w:rPr>
        <w:t xml:space="preserve"> . . . . . . .</w:t>
      </w:r>
      <w:r>
        <w:rPr>
          <w:rFonts w:ascii="Times New Roman" w:hAnsi="Times New Roman"/>
          <w:b/>
          <w:sz w:val="24"/>
        </w:rPr>
        <w:t xml:space="preserve"> 3</w:t>
      </w:r>
    </w:p>
    <w:p>
      <w:pPr>
        <w:spacing w:line="276" w:lineRule="auto" w:after="60"/>
      </w:pPr>
      <w:r>
        <w:rPr>
          <w:rFonts w:ascii="Times New Roman" w:hAnsi="Times New Roman"/>
          <w:sz w:val="24"/>
        </w:rPr>
        <w:t xml:space="preserve">    1.4 Scope and Boundaries</w:t>
      </w:r>
      <w:r>
        <w:rPr>
          <w:rFonts w:ascii="Times New Roman" w:hAnsi="Times New Roman"/>
          <w:color w:val="787878"/>
          <w:sz w:val="20"/>
        </w:rPr>
        <w:t xml:space="preserve"> . . . . . . . . . . . . . . . . . .</w:t>
      </w:r>
      <w:r>
        <w:rPr>
          <w:rFonts w:ascii="Times New Roman" w:hAnsi="Times New Roman"/>
          <w:b/>
          <w:sz w:val="24"/>
        </w:rPr>
        <w:t xml:space="preserve"> 4</w:t>
      </w:r>
    </w:p>
    <w:p>
      <w:pPr>
        <w:spacing w:line="276" w:lineRule="auto" w:after="60"/>
      </w:pPr>
      <w:r>
        <w:rPr>
          <w:rFonts w:ascii="Times New Roman" w:hAnsi="Times New Roman"/>
          <w:sz w:val="24"/>
        </w:rPr>
        <w:t xml:space="preserve">    1.5 Socio-Economic Impact for Developing Ecosystems</w:t>
      </w:r>
      <w:r>
        <w:rPr>
          <w:rFonts w:ascii="Times New Roman" w:hAnsi="Times New Roman"/>
          <w:color w:val="787878"/>
          <w:sz w:val="20"/>
        </w:rPr>
        <w:t xml:space="preserve"> . . . . .</w:t>
      </w:r>
      <w:r>
        <w:rPr>
          <w:rFonts w:ascii="Times New Roman" w:hAnsi="Times New Roman"/>
          <w:b/>
          <w:sz w:val="24"/>
        </w:rPr>
        <w:t xml:space="preserve"> 5</w:t>
      </w:r>
    </w:p>
    <w:p>
      <w:pPr>
        <w:spacing w:line="276" w:lineRule="auto" w:after="60"/>
      </w:pPr>
      <w:r>
        <w:rPr>
          <w:rFonts w:ascii="Times New Roman" w:hAnsi="Times New Roman"/>
          <w:sz w:val="24"/>
        </w:rPr>
        <w:t xml:space="preserve">    1.6 Report Layout</w:t>
      </w:r>
      <w:r>
        <w:rPr>
          <w:rFonts w:ascii="Times New Roman" w:hAnsi="Times New Roman"/>
          <w:color w:val="787878"/>
          <w:sz w:val="20"/>
        </w:rPr>
        <w:t xml:space="preserve"> . . . . . . . . . . . . . . . . . . . . . .</w:t>
      </w:r>
      <w:r>
        <w:rPr>
          <w:rFonts w:ascii="Times New Roman" w:hAnsi="Times New Roman"/>
          <w:b/>
          <w:sz w:val="24"/>
        </w:rPr>
        <w:t xml:space="preserve"> 5</w:t>
      </w:r>
    </w:p>
    <w:p>
      <w:pPr>
        <w:spacing w:line="276" w:lineRule="auto" w:after="60"/>
      </w:pPr>
      <w:r>
        <w:rPr>
          <w:rFonts w:ascii="Times New Roman" w:hAnsi="Times New Roman"/>
          <w:b/>
          <w:sz w:val="24"/>
        </w:rPr>
        <w:t>Chapter 2: Literature Review</w:t>
      </w:r>
      <w:r>
        <w:rPr>
          <w:rFonts w:ascii="Times New Roman" w:hAnsi="Times New Roman"/>
          <w:color w:val="787878"/>
          <w:sz w:val="20"/>
        </w:rPr>
        <w:t xml:space="preserve"> . . . . . . . . . . . . . . . . . .</w:t>
      </w:r>
      <w:r>
        <w:rPr>
          <w:rFonts w:ascii="Times New Roman" w:hAnsi="Times New Roman"/>
          <w:b/>
          <w:sz w:val="24"/>
        </w:rPr>
        <w:t xml:space="preserve"> 6</w:t>
      </w:r>
    </w:p>
    <w:p>
      <w:pPr>
        <w:spacing w:line="276" w:lineRule="auto" w:after="60"/>
      </w:pPr>
      <w:r>
        <w:rPr>
          <w:rFonts w:ascii="Times New Roman" w:hAnsi="Times New Roman"/>
          <w:sz w:val="24"/>
        </w:rPr>
        <w:t xml:space="preserve">    2.1 Evolution of Prompt Injection &amp; Jailbreaking in Agentic LLMs</w:t>
      </w:r>
      <w:r>
        <w:rPr>
          <w:rFonts w:ascii="Times New Roman" w:hAnsi="Times New Roman"/>
          <w:color w:val="787878"/>
          <w:sz w:val="20"/>
        </w:rPr>
        <w:t xml:space="preserve"> . .</w:t>
      </w:r>
      <w:r>
        <w:rPr>
          <w:rFonts w:ascii="Times New Roman" w:hAnsi="Times New Roman"/>
          <w:b/>
          <w:sz w:val="24"/>
        </w:rPr>
        <w:t xml:space="preserve"> 6</w:t>
      </w:r>
    </w:p>
    <w:p>
      <w:pPr>
        <w:spacing w:line="276" w:lineRule="auto" w:after="60"/>
      </w:pPr>
      <w:r>
        <w:rPr>
          <w:rFonts w:ascii="Times New Roman" w:hAnsi="Times New Roman"/>
          <w:sz w:val="24"/>
        </w:rPr>
        <w:t xml:space="preserve">    2.2 Limitations of Rule-Based and Perplexity-Based Defenses</w:t>
      </w:r>
      <w:r>
        <w:rPr>
          <w:rFonts w:ascii="Times New Roman" w:hAnsi="Times New Roman"/>
          <w:color w:val="787878"/>
          <w:sz w:val="20"/>
        </w:rPr>
        <w:t xml:space="preserve"> . .</w:t>
      </w:r>
      <w:r>
        <w:rPr>
          <w:rFonts w:ascii="Times New Roman" w:hAnsi="Times New Roman"/>
          <w:b/>
          <w:sz w:val="24"/>
        </w:rPr>
        <w:t xml:space="preserve"> 7</w:t>
      </w:r>
    </w:p>
    <w:p>
      <w:pPr>
        <w:spacing w:line="276" w:lineRule="auto" w:after="60"/>
      </w:pPr>
      <w:r>
        <w:rPr>
          <w:rFonts w:ascii="Times New Roman" w:hAnsi="Times New Roman"/>
          <w:sz w:val="24"/>
        </w:rPr>
        <w:t xml:space="preserve">    2.3 Foundations of Contrastive Representation Learning</w:t>
      </w:r>
      <w:r>
        <w:rPr>
          <w:rFonts w:ascii="Times New Roman" w:hAnsi="Times New Roman"/>
          <w:color w:val="787878"/>
          <w:sz w:val="20"/>
        </w:rPr>
        <w:t xml:space="preserve"> . . .</w:t>
      </w:r>
      <w:r>
        <w:rPr>
          <w:rFonts w:ascii="Times New Roman" w:hAnsi="Times New Roman"/>
          <w:b/>
          <w:sz w:val="24"/>
        </w:rPr>
        <w:t xml:space="preserve"> 8</w:t>
      </w:r>
    </w:p>
    <w:p>
      <w:pPr>
        <w:spacing w:line="276" w:lineRule="auto" w:after="60"/>
      </w:pPr>
      <w:r>
        <w:rPr>
          <w:rFonts w:ascii="Times New Roman" w:hAnsi="Times New Roman"/>
          <w:sz w:val="24"/>
        </w:rPr>
        <w:t xml:space="preserve">    2.4 Social Engineering &amp; Psychological Vectors in Adversarial AI</w:t>
      </w:r>
      <w:r>
        <w:rPr>
          <w:rFonts w:ascii="Times New Roman" w:hAnsi="Times New Roman"/>
          <w:color w:val="787878"/>
          <w:sz w:val="20"/>
        </w:rPr>
        <w:t xml:space="preserve"> . .</w:t>
      </w:r>
      <w:r>
        <w:rPr>
          <w:rFonts w:ascii="Times New Roman" w:hAnsi="Times New Roman"/>
          <w:b/>
          <w:sz w:val="24"/>
        </w:rPr>
        <w:t xml:space="preserve"> 9</w:t>
      </w:r>
    </w:p>
    <w:p>
      <w:pPr>
        <w:spacing w:line="276" w:lineRule="auto" w:after="60"/>
      </w:pPr>
      <w:r>
        <w:rPr>
          <w:rFonts w:ascii="Times New Roman" w:hAnsi="Times New Roman"/>
          <w:sz w:val="24"/>
        </w:rPr>
        <w:t xml:space="preserve">    2.5 Cross-Cultural and Code-Switching Vulnerabilities (Bangla/Banglish)</w:t>
      </w:r>
      <w:r>
        <w:rPr>
          <w:rFonts w:ascii="Times New Roman" w:hAnsi="Times New Roman"/>
          <w:color w:val="787878"/>
          <w:sz w:val="20"/>
        </w:rPr>
        <w:t xml:space="preserve"> . .</w:t>
      </w:r>
      <w:r>
        <w:rPr>
          <w:rFonts w:ascii="Times New Roman" w:hAnsi="Times New Roman"/>
          <w:b/>
          <w:sz w:val="24"/>
        </w:rPr>
        <w:t xml:space="preserve"> 10</w:t>
      </w:r>
    </w:p>
    <w:p>
      <w:pPr>
        <w:spacing w:line="276" w:lineRule="auto" w:after="60"/>
      </w:pPr>
      <w:r>
        <w:rPr>
          <w:rFonts w:ascii="Times New Roman" w:hAnsi="Times New Roman"/>
          <w:sz w:val="24"/>
        </w:rPr>
        <w:t xml:space="preserve">    2.6 Summary of Literature Gaps</w:t>
      </w:r>
      <w:r>
        <w:rPr>
          <w:rFonts w:ascii="Times New Roman" w:hAnsi="Times New Roman"/>
          <w:color w:val="787878"/>
          <w:sz w:val="20"/>
        </w:rPr>
        <w:t xml:space="preserve"> . . . . . . . . . . . . . . .</w:t>
      </w:r>
      <w:r>
        <w:rPr>
          <w:rFonts w:ascii="Times New Roman" w:hAnsi="Times New Roman"/>
          <w:b/>
          <w:sz w:val="24"/>
        </w:rPr>
        <w:t xml:space="preserve"> 11</w:t>
      </w:r>
    </w:p>
    <w:p>
      <w:pPr>
        <w:spacing w:line="276" w:lineRule="auto" w:after="60"/>
      </w:pPr>
      <w:r>
        <w:rPr>
          <w:rFonts w:ascii="Times New Roman" w:hAnsi="Times New Roman"/>
          <w:b/>
          <w:sz w:val="24"/>
        </w:rPr>
        <w:t>Chapter 3: Threat Model and Multi-Dimensional Attack Taxonomy</w:t>
      </w:r>
      <w:r>
        <w:rPr>
          <w:rFonts w:ascii="Times New Roman" w:hAnsi="Times New Roman"/>
          <w:color w:val="787878"/>
          <w:sz w:val="20"/>
        </w:rPr>
        <w:t xml:space="preserve"> . .</w:t>
      </w:r>
      <w:r>
        <w:rPr>
          <w:rFonts w:ascii="Times New Roman" w:hAnsi="Times New Roman"/>
          <w:b/>
          <w:sz w:val="24"/>
        </w:rPr>
        <w:t xml:space="preserve"> 12</w:t>
      </w:r>
    </w:p>
    <w:p>
      <w:pPr>
        <w:spacing w:line="276" w:lineRule="auto" w:after="60"/>
      </w:pPr>
      <w:r>
        <w:rPr>
          <w:rFonts w:ascii="Times New Roman" w:hAnsi="Times New Roman"/>
          <w:sz w:val="24"/>
        </w:rPr>
        <w:t xml:space="preserve">    3.1 Mathematical Threat Formulation</w:t>
      </w:r>
      <w:r>
        <w:rPr>
          <w:rFonts w:ascii="Times New Roman" w:hAnsi="Times New Roman"/>
          <w:color w:val="787878"/>
          <w:sz w:val="20"/>
        </w:rPr>
        <w:t xml:space="preserve"> . . . . . . . . . . . . .</w:t>
      </w:r>
      <w:r>
        <w:rPr>
          <w:rFonts w:ascii="Times New Roman" w:hAnsi="Times New Roman"/>
          <w:b/>
          <w:sz w:val="24"/>
        </w:rPr>
        <w:t xml:space="preserve"> 12</w:t>
      </w:r>
    </w:p>
    <w:p>
      <w:pPr>
        <w:spacing w:line="276" w:lineRule="auto" w:after="60"/>
      </w:pPr>
      <w:r>
        <w:rPr>
          <w:rFonts w:ascii="Times New Roman" w:hAnsi="Times New Roman"/>
          <w:sz w:val="24"/>
        </w:rPr>
        <w:t xml:space="preserve">    3.2 Tier-1: Technical &amp; Structural Prompt Injection</w:t>
      </w:r>
      <w:r>
        <w:rPr>
          <w:rFonts w:ascii="Times New Roman" w:hAnsi="Times New Roman"/>
          <w:color w:val="787878"/>
          <w:sz w:val="20"/>
        </w:rPr>
        <w:t xml:space="preserve"> . . . . .</w:t>
      </w:r>
      <w:r>
        <w:rPr>
          <w:rFonts w:ascii="Times New Roman" w:hAnsi="Times New Roman"/>
          <w:b/>
          <w:sz w:val="24"/>
        </w:rPr>
        <w:t xml:space="preserve"> 13</w:t>
      </w:r>
    </w:p>
    <w:p>
      <w:pPr>
        <w:spacing w:line="276" w:lineRule="auto" w:after="60"/>
      </w:pPr>
      <w:r>
        <w:rPr>
          <w:rFonts w:ascii="Times New Roman" w:hAnsi="Times New Roman"/>
          <w:sz w:val="24"/>
        </w:rPr>
        <w:t xml:space="preserve">    3.3 Tier-2: Socio-Technical &amp; Psychological Vectors</w:t>
      </w:r>
      <w:r>
        <w:rPr>
          <w:rFonts w:ascii="Times New Roman" w:hAnsi="Times New Roman"/>
          <w:color w:val="787878"/>
          <w:sz w:val="20"/>
        </w:rPr>
        <w:t xml:space="preserve"> . . . . .</w:t>
      </w:r>
      <w:r>
        <w:rPr>
          <w:rFonts w:ascii="Times New Roman" w:hAnsi="Times New Roman"/>
          <w:b/>
          <w:sz w:val="24"/>
        </w:rPr>
        <w:t xml:space="preserve"> 14</w:t>
      </w:r>
    </w:p>
    <w:p>
      <w:pPr>
        <w:spacing w:line="276" w:lineRule="auto" w:after="60"/>
      </w:pPr>
      <w:r>
        <w:rPr>
          <w:rFonts w:ascii="Times New Roman" w:hAnsi="Times New Roman"/>
          <w:sz w:val="24"/>
        </w:rPr>
        <w:t xml:space="preserve">    3.4 Tier-3: Cultural &amp; Regional Exploits (Bangla &amp; Banglish)</w:t>
      </w:r>
      <w:r>
        <w:rPr>
          <w:rFonts w:ascii="Times New Roman" w:hAnsi="Times New Roman"/>
          <w:color w:val="787878"/>
          <w:sz w:val="20"/>
        </w:rPr>
        <w:t xml:space="preserve"> . .</w:t>
      </w:r>
      <w:r>
        <w:rPr>
          <w:rFonts w:ascii="Times New Roman" w:hAnsi="Times New Roman"/>
          <w:b/>
          <w:sz w:val="24"/>
        </w:rPr>
        <w:t xml:space="preserve"> 15</w:t>
      </w:r>
    </w:p>
    <w:p>
      <w:pPr>
        <w:spacing w:line="276" w:lineRule="auto" w:after="60"/>
      </w:pPr>
      <w:r>
        <w:rPr>
          <w:rFonts w:ascii="Times New Roman" w:hAnsi="Times New Roman"/>
          <w:sz w:val="24"/>
        </w:rPr>
        <w:t xml:space="preserve">    3.5 Benign Emotional Hard-Negative Mining</w:t>
      </w:r>
      <w:r>
        <w:rPr>
          <w:rFonts w:ascii="Times New Roman" w:hAnsi="Times New Roman"/>
          <w:color w:val="787878"/>
          <w:sz w:val="20"/>
        </w:rPr>
        <w:t xml:space="preserve"> . . . . . . . . . .</w:t>
      </w:r>
      <w:r>
        <w:rPr>
          <w:rFonts w:ascii="Times New Roman" w:hAnsi="Times New Roman"/>
          <w:b/>
          <w:sz w:val="24"/>
        </w:rPr>
        <w:t xml:space="preserve"> 16</w:t>
      </w:r>
    </w:p>
    <w:p>
      <w:pPr>
        <w:spacing w:line="276" w:lineRule="auto" w:after="60"/>
      </w:pPr>
      <w:r>
        <w:rPr>
          <w:rFonts w:ascii="Times New Roman" w:hAnsi="Times New Roman"/>
          <w:b/>
          <w:sz w:val="24"/>
        </w:rPr>
        <w:t>Chapter 4: Proposed Methodology and System Architecture</w:t>
      </w:r>
      <w:r>
        <w:rPr>
          <w:rFonts w:ascii="Times New Roman" w:hAnsi="Times New Roman"/>
          <w:color w:val="787878"/>
          <w:sz w:val="20"/>
        </w:rPr>
        <w:t xml:space="preserve"> . . . . .</w:t>
      </w:r>
      <w:r>
        <w:rPr>
          <w:rFonts w:ascii="Times New Roman" w:hAnsi="Times New Roman"/>
          <w:b/>
          <w:sz w:val="24"/>
        </w:rPr>
        <w:t xml:space="preserve"> 17</w:t>
      </w:r>
    </w:p>
    <w:p>
      <w:pPr>
        <w:spacing w:line="276" w:lineRule="auto" w:after="60"/>
      </w:pPr>
      <w:r>
        <w:rPr>
          <w:rFonts w:ascii="Times New Roman" w:hAnsi="Times New Roman"/>
          <w:sz w:val="24"/>
        </w:rPr>
        <w:t xml:space="preserve">    4.1 Architecture Overview of the Pre-Filter Pipeline</w:t>
      </w:r>
      <w:r>
        <w:rPr>
          <w:rFonts w:ascii="Times New Roman" w:hAnsi="Times New Roman"/>
          <w:color w:val="787878"/>
          <w:sz w:val="20"/>
        </w:rPr>
        <w:t xml:space="preserve"> . . . .</w:t>
      </w:r>
      <w:r>
        <w:rPr>
          <w:rFonts w:ascii="Times New Roman" w:hAnsi="Times New Roman"/>
          <w:b/>
          <w:sz w:val="24"/>
        </w:rPr>
        <w:t xml:space="preserve"> 17</w:t>
      </w:r>
    </w:p>
    <w:p>
      <w:pPr>
        <w:spacing w:line="276" w:lineRule="auto" w:after="60"/>
      </w:pPr>
      <w:r>
        <w:rPr>
          <w:rFonts w:ascii="Times New Roman" w:hAnsi="Times New Roman"/>
          <w:sz w:val="24"/>
        </w:rPr>
        <w:t xml:space="preserve">    4.2 DistilBERT Transformer Encoder Backbone</w:t>
      </w:r>
      <w:r>
        <w:rPr>
          <w:rFonts w:ascii="Times New Roman" w:hAnsi="Times New Roman"/>
          <w:color w:val="787878"/>
          <w:sz w:val="20"/>
        </w:rPr>
        <w:t xml:space="preserve"> . . . . . . . . .</w:t>
      </w:r>
      <w:r>
        <w:rPr>
          <w:rFonts w:ascii="Times New Roman" w:hAnsi="Times New Roman"/>
          <w:b/>
          <w:sz w:val="24"/>
        </w:rPr>
        <w:t xml:space="preserve"> 18</w:t>
      </w:r>
    </w:p>
    <w:p>
      <w:pPr>
        <w:spacing w:line="276" w:lineRule="auto" w:after="60"/>
      </w:pPr>
      <w:r>
        <w:rPr>
          <w:rFonts w:ascii="Times New Roman" w:hAnsi="Times New Roman"/>
          <w:sz w:val="24"/>
        </w:rPr>
        <w:t xml:space="preserve">    4.3 Supervised Contrastive Learning (InfoNCE Objective)</w:t>
      </w:r>
      <w:r>
        <w:rPr>
          <w:rFonts w:ascii="Times New Roman" w:hAnsi="Times New Roman"/>
          <w:color w:val="787878"/>
          <w:sz w:val="20"/>
        </w:rPr>
        <w:t xml:space="preserve"> . . .</w:t>
      </w:r>
      <w:r>
        <w:rPr>
          <w:rFonts w:ascii="Times New Roman" w:hAnsi="Times New Roman"/>
          <w:b/>
          <w:sz w:val="24"/>
        </w:rPr>
        <w:t xml:space="preserve"> 19</w:t>
      </w:r>
    </w:p>
    <w:p>
      <w:pPr>
        <w:spacing w:line="276" w:lineRule="auto" w:after="60"/>
      </w:pPr>
      <w:r>
        <w:rPr>
          <w:rFonts w:ascii="Times New Roman" w:hAnsi="Times New Roman"/>
          <w:sz w:val="24"/>
        </w:rPr>
        <w:t xml:space="preserve">    4.4 Stratified Dataset Curation and Partitioning</w:t>
      </w:r>
      <w:r>
        <w:rPr>
          <w:rFonts w:ascii="Times New Roman" w:hAnsi="Times New Roman"/>
          <w:color w:val="787878"/>
          <w:sz w:val="20"/>
        </w:rPr>
        <w:t xml:space="preserve"> . . . . . .</w:t>
      </w:r>
      <w:r>
        <w:rPr>
          <w:rFonts w:ascii="Times New Roman" w:hAnsi="Times New Roman"/>
          <w:b/>
          <w:sz w:val="24"/>
        </w:rPr>
        <w:t xml:space="preserve"> 20</w:t>
      </w:r>
    </w:p>
    <w:p>
      <w:pPr>
        <w:spacing w:line="276" w:lineRule="auto" w:after="60"/>
      </w:pPr>
      <w:r>
        <w:rPr>
          <w:rFonts w:ascii="Times New Roman" w:hAnsi="Times New Roman"/>
          <w:sz w:val="24"/>
        </w:rPr>
        <w:t xml:space="preserve">    4.5 Human-in-the-Loop Explainability Layer (RQ5)</w:t>
      </w:r>
      <w:r>
        <w:rPr>
          <w:rFonts w:ascii="Times New Roman" w:hAnsi="Times New Roman"/>
          <w:color w:val="787878"/>
          <w:sz w:val="20"/>
        </w:rPr>
        <w:t xml:space="preserve"> . . . . . .</w:t>
      </w:r>
      <w:r>
        <w:rPr>
          <w:rFonts w:ascii="Times New Roman" w:hAnsi="Times New Roman"/>
          <w:b/>
          <w:sz w:val="24"/>
        </w:rPr>
        <w:t xml:space="preserve"> 21</w:t>
      </w:r>
    </w:p>
    <w:p>
      <w:pPr>
        <w:spacing w:line="276" w:lineRule="auto" w:after="60"/>
      </w:pPr>
      <w:r>
        <w:rPr>
          <w:rFonts w:ascii="Times New Roman" w:hAnsi="Times New Roman"/>
          <w:b/>
          <w:sz w:val="24"/>
        </w:rPr>
        <w:t>Chapter 5: Experimental Evaluation, Results and Discussion</w:t>
      </w:r>
      <w:r>
        <w:rPr>
          <w:rFonts w:ascii="Times New Roman" w:hAnsi="Times New Roman"/>
          <w:color w:val="787878"/>
          <w:sz w:val="20"/>
        </w:rPr>
        <w:t xml:space="preserve"> . . .</w:t>
      </w:r>
      <w:r>
        <w:rPr>
          <w:rFonts w:ascii="Times New Roman" w:hAnsi="Times New Roman"/>
          <w:b/>
          <w:sz w:val="24"/>
        </w:rPr>
        <w:t xml:space="preserve"> 23</w:t>
      </w:r>
    </w:p>
    <w:p>
      <w:pPr>
        <w:spacing w:line="276" w:lineRule="auto" w:after="60"/>
      </w:pPr>
      <w:r>
        <w:rPr>
          <w:rFonts w:ascii="Times New Roman" w:hAnsi="Times New Roman"/>
          <w:sz w:val="24"/>
        </w:rPr>
        <w:t xml:space="preserve">    5.1 Experimental Setup &amp; Statistical Protocol</w:t>
      </w:r>
      <w:r>
        <w:rPr>
          <w:rFonts w:ascii="Times New Roman" w:hAnsi="Times New Roman"/>
          <w:color w:val="787878"/>
          <w:sz w:val="20"/>
        </w:rPr>
        <w:t xml:space="preserve"> . . . . . . . .</w:t>
      </w:r>
      <w:r>
        <w:rPr>
          <w:rFonts w:ascii="Times New Roman" w:hAnsi="Times New Roman"/>
          <w:b/>
          <w:sz w:val="24"/>
        </w:rPr>
        <w:t xml:space="preserve"> 23</w:t>
      </w:r>
    </w:p>
    <w:p>
      <w:pPr>
        <w:spacing w:line="276" w:lineRule="auto" w:after="60"/>
      </w:pPr>
      <w:r>
        <w:rPr>
          <w:rFonts w:ascii="Times New Roman" w:hAnsi="Times New Roman"/>
          <w:sz w:val="24"/>
        </w:rPr>
        <w:t xml:space="preserve">    5.2 RQ1: Classification Performance vs. Baseline Models</w:t>
      </w:r>
      <w:r>
        <w:rPr>
          <w:rFonts w:ascii="Times New Roman" w:hAnsi="Times New Roman"/>
          <w:color w:val="787878"/>
          <w:sz w:val="20"/>
        </w:rPr>
        <w:t xml:space="preserve"> . . .</w:t>
      </w:r>
      <w:r>
        <w:rPr>
          <w:rFonts w:ascii="Times New Roman" w:hAnsi="Times New Roman"/>
          <w:b/>
          <w:sz w:val="24"/>
        </w:rPr>
        <w:t xml:space="preserve"> 24</w:t>
      </w:r>
    </w:p>
    <w:p>
      <w:pPr>
        <w:spacing w:line="276" w:lineRule="auto" w:after="60"/>
      </w:pPr>
      <w:r>
        <w:rPr>
          <w:rFonts w:ascii="Times New Roman" w:hAnsi="Times New Roman"/>
          <w:sz w:val="24"/>
        </w:rPr>
        <w:t xml:space="preserve">    5.3 RQ2: Geometric Embedding Separation Proof (t-SNE Visuals)</w:t>
      </w:r>
      <w:r>
        <w:rPr>
          <w:rFonts w:ascii="Times New Roman" w:hAnsi="Times New Roman"/>
          <w:color w:val="787878"/>
          <w:sz w:val="20"/>
        </w:rPr>
        <w:t xml:space="preserve"> . .</w:t>
      </w:r>
      <w:r>
        <w:rPr>
          <w:rFonts w:ascii="Times New Roman" w:hAnsi="Times New Roman"/>
          <w:b/>
          <w:sz w:val="24"/>
        </w:rPr>
        <w:t xml:space="preserve"> 25</w:t>
      </w:r>
    </w:p>
    <w:p>
      <w:pPr>
        <w:spacing w:line="276" w:lineRule="auto" w:after="60"/>
      </w:pPr>
      <w:r>
        <w:rPr>
          <w:rFonts w:ascii="Times New Roman" w:hAnsi="Times New Roman"/>
          <w:sz w:val="24"/>
        </w:rPr>
        <w:t xml:space="preserve">    5.4 RQ3: Zero-Shot Generalization on Held-Out Attack Families</w:t>
      </w:r>
      <w:r>
        <w:rPr>
          <w:rFonts w:ascii="Times New Roman" w:hAnsi="Times New Roman"/>
          <w:color w:val="787878"/>
          <w:sz w:val="20"/>
        </w:rPr>
        <w:t xml:space="preserve"> . .</w:t>
      </w:r>
      <w:r>
        <w:rPr>
          <w:rFonts w:ascii="Times New Roman" w:hAnsi="Times New Roman"/>
          <w:b/>
          <w:sz w:val="24"/>
        </w:rPr>
        <w:t xml:space="preserve"> 27</w:t>
      </w:r>
    </w:p>
    <w:p>
      <w:pPr>
        <w:spacing w:line="276" w:lineRule="auto" w:after="60"/>
      </w:pPr>
      <w:r>
        <w:rPr>
          <w:rFonts w:ascii="Times New Roman" w:hAnsi="Times New Roman"/>
          <w:sz w:val="24"/>
        </w:rPr>
        <w:t xml:space="preserve">    5.5 RQ4: Adversarial Robustness &amp; Obfuscation Degradation Curves</w:t>
      </w:r>
      <w:r>
        <w:rPr>
          <w:rFonts w:ascii="Times New Roman" w:hAnsi="Times New Roman"/>
          <w:color w:val="787878"/>
          <w:sz w:val="20"/>
        </w:rPr>
        <w:t xml:space="preserve"> . .</w:t>
      </w:r>
      <w:r>
        <w:rPr>
          <w:rFonts w:ascii="Times New Roman" w:hAnsi="Times New Roman"/>
          <w:b/>
          <w:sz w:val="24"/>
        </w:rPr>
        <w:t xml:space="preserve"> 28</w:t>
      </w:r>
    </w:p>
    <w:p>
      <w:pPr>
        <w:spacing w:line="276" w:lineRule="auto" w:after="60"/>
      </w:pPr>
      <w:r>
        <w:rPr>
          <w:rFonts w:ascii="Times New Roman" w:hAnsi="Times New Roman"/>
          <w:sz w:val="24"/>
        </w:rPr>
        <w:t xml:space="preserve">    5.6 RQ5: Human Auditor Decision Speed &amp; Operator Trust Evaluation</w:t>
      </w:r>
      <w:r>
        <w:rPr>
          <w:rFonts w:ascii="Times New Roman" w:hAnsi="Times New Roman"/>
          <w:color w:val="787878"/>
          <w:sz w:val="20"/>
        </w:rPr>
        <w:t xml:space="preserve"> . .</w:t>
      </w:r>
      <w:r>
        <w:rPr>
          <w:rFonts w:ascii="Times New Roman" w:hAnsi="Times New Roman"/>
          <w:b/>
          <w:sz w:val="24"/>
        </w:rPr>
        <w:t xml:space="preserve"> 30</w:t>
      </w:r>
    </w:p>
    <w:p>
      <w:pPr>
        <w:spacing w:line="276" w:lineRule="auto" w:after="60"/>
      </w:pPr>
      <w:r>
        <w:rPr>
          <w:rFonts w:ascii="Times New Roman" w:hAnsi="Times New Roman"/>
          <w:sz w:val="24"/>
        </w:rPr>
        <w:t xml:space="preserve">    5.7 RQ6: Real-World Latency Benchmarks (&lt;25ms Deployment SLA)</w:t>
      </w:r>
      <w:r>
        <w:rPr>
          <w:rFonts w:ascii="Times New Roman" w:hAnsi="Times New Roman"/>
          <w:color w:val="787878"/>
          <w:sz w:val="20"/>
        </w:rPr>
        <w:t xml:space="preserve"> . .</w:t>
      </w:r>
      <w:r>
        <w:rPr>
          <w:rFonts w:ascii="Times New Roman" w:hAnsi="Times New Roman"/>
          <w:b/>
          <w:sz w:val="24"/>
        </w:rPr>
        <w:t xml:space="preserve"> 31</w:t>
      </w:r>
    </w:p>
    <w:p>
      <w:pPr>
        <w:spacing w:line="276" w:lineRule="auto" w:after="60"/>
      </w:pPr>
      <w:r>
        <w:rPr>
          <w:rFonts w:ascii="Times New Roman" w:hAnsi="Times New Roman"/>
          <w:sz w:val="24"/>
        </w:rPr>
        <w:t xml:space="preserve">    5.8 Ablation Study: Impact of Benign Emotional Hard-Negatives</w:t>
      </w:r>
      <w:r>
        <w:rPr>
          <w:rFonts w:ascii="Times New Roman" w:hAnsi="Times New Roman"/>
          <w:color w:val="787878"/>
          <w:sz w:val="20"/>
        </w:rPr>
        <w:t xml:space="preserve"> . .</w:t>
      </w:r>
      <w:r>
        <w:rPr>
          <w:rFonts w:ascii="Times New Roman" w:hAnsi="Times New Roman"/>
          <w:b/>
          <w:sz w:val="24"/>
        </w:rPr>
        <w:t xml:space="preserve"> 32</w:t>
      </w:r>
    </w:p>
    <w:p>
      <w:pPr>
        <w:spacing w:line="276" w:lineRule="auto" w:after="60"/>
      </w:pPr>
      <w:r>
        <w:rPr>
          <w:rFonts w:ascii="Times New Roman" w:hAnsi="Times New Roman"/>
          <w:b/>
          <w:sz w:val="24"/>
        </w:rPr>
        <w:t>Chapter 6: Conclusion and Future Scope</w:t>
      </w:r>
      <w:r>
        <w:rPr>
          <w:rFonts w:ascii="Times New Roman" w:hAnsi="Times New Roman"/>
          <w:color w:val="787878"/>
          <w:sz w:val="20"/>
        </w:rPr>
        <w:t xml:space="preserve"> . . . . . . . . . . . . .</w:t>
      </w:r>
      <w:r>
        <w:rPr>
          <w:rFonts w:ascii="Times New Roman" w:hAnsi="Times New Roman"/>
          <w:b/>
          <w:sz w:val="24"/>
        </w:rPr>
        <w:t xml:space="preserve"> 34</w:t>
      </w:r>
    </w:p>
    <w:p>
      <w:pPr>
        <w:spacing w:line="276" w:lineRule="auto" w:after="60"/>
      </w:pPr>
      <w:r>
        <w:rPr>
          <w:rFonts w:ascii="Times New Roman" w:hAnsi="Times New Roman"/>
          <w:sz w:val="24"/>
        </w:rPr>
        <w:t xml:space="preserve">    6.1 Summary of Contributions</w:t>
      </w:r>
      <w:r>
        <w:rPr>
          <w:rFonts w:ascii="Times New Roman" w:hAnsi="Times New Roman"/>
          <w:color w:val="787878"/>
          <w:sz w:val="20"/>
        </w:rPr>
        <w:t xml:space="preserve"> . . . . . . . . . . . . . . . .</w:t>
      </w:r>
      <w:r>
        <w:rPr>
          <w:rFonts w:ascii="Times New Roman" w:hAnsi="Times New Roman"/>
          <w:b/>
          <w:sz w:val="24"/>
        </w:rPr>
        <w:t xml:space="preserve"> 34</w:t>
      </w:r>
    </w:p>
    <w:p>
      <w:pPr>
        <w:spacing w:line="276" w:lineRule="auto" w:after="60"/>
      </w:pPr>
      <w:r>
        <w:rPr>
          <w:rFonts w:ascii="Times New Roman" w:hAnsi="Times New Roman"/>
          <w:sz w:val="24"/>
        </w:rPr>
        <w:t xml:space="preserve">    6.2 Practical Recommendations for Production Agent Systems</w:t>
      </w:r>
      <w:r>
        <w:rPr>
          <w:rFonts w:ascii="Times New Roman" w:hAnsi="Times New Roman"/>
          <w:color w:val="787878"/>
          <w:sz w:val="20"/>
        </w:rPr>
        <w:t xml:space="preserve"> . .</w:t>
      </w:r>
      <w:r>
        <w:rPr>
          <w:rFonts w:ascii="Times New Roman" w:hAnsi="Times New Roman"/>
          <w:b/>
          <w:sz w:val="24"/>
        </w:rPr>
        <w:t xml:space="preserve"> 35</w:t>
      </w:r>
    </w:p>
    <w:p>
      <w:pPr>
        <w:spacing w:line="276" w:lineRule="auto" w:after="60"/>
      </w:pPr>
      <w:r>
        <w:rPr>
          <w:rFonts w:ascii="Times New Roman" w:hAnsi="Times New Roman"/>
          <w:sz w:val="24"/>
        </w:rPr>
        <w:t xml:space="preserve">    6.3 Future Scope &amp; Research Directions</w:t>
      </w:r>
      <w:r>
        <w:rPr>
          <w:rFonts w:ascii="Times New Roman" w:hAnsi="Times New Roman"/>
          <w:color w:val="787878"/>
          <w:sz w:val="20"/>
        </w:rPr>
        <w:t xml:space="preserve"> . . . . . . . . . . .</w:t>
      </w:r>
      <w:r>
        <w:rPr>
          <w:rFonts w:ascii="Times New Roman" w:hAnsi="Times New Roman"/>
          <w:b/>
          <w:sz w:val="24"/>
        </w:rPr>
        <w:t xml:space="preserve"> 36</w:t>
      </w:r>
    </w:p>
    <w:p>
      <w:pPr>
        <w:spacing w:line="276" w:lineRule="auto" w:after="60"/>
      </w:pPr>
      <w:r>
        <w:rPr>
          <w:rFonts w:ascii="Times New Roman" w:hAnsi="Times New Roman"/>
          <w:b/>
          <w:sz w:val="24"/>
        </w:rPr>
        <w:t>References</w:t>
      </w:r>
      <w:r>
        <w:rPr>
          <w:rFonts w:ascii="Times New Roman" w:hAnsi="Times New Roman"/>
          <w:color w:val="787878"/>
          <w:sz w:val="20"/>
        </w:rPr>
        <w:t xml:space="preserve"> . . . . . . . . . . . . . . . . . . . . . . . . . . .</w:t>
      </w:r>
      <w:r>
        <w:rPr>
          <w:rFonts w:ascii="Times New Roman" w:hAnsi="Times New Roman"/>
          <w:b/>
          <w:sz w:val="24"/>
        </w:rPr>
        <w:t xml:space="preserve"> 37</w:t>
      </w:r>
    </w:p>
    <w:p>
      <w:r>
        <w:br w:type="page"/>
      </w:r>
    </w:p>
    <w:p>
      <w:pPr>
        <w:spacing w:line="276" w:lineRule="auto" w:before="0" w:after="360"/>
        <w:jc w:val="center"/>
      </w:pPr>
      <w:r>
        <w:rPr>
          <w:rFonts w:ascii="Times New Roman" w:hAnsi="Times New Roman"/>
          <w:b/>
          <w:i w:val="0"/>
          <w:color w:val="000000"/>
          <w:sz w:val="40"/>
        </w:rPr>
        <w:t>List of Figures</w:t>
      </w:r>
    </w:p>
    <w:p>
      <w:pPr>
        <w:spacing w:line="276" w:lineRule="auto" w:before="0" w:after="80"/>
        <w:jc w:val="left"/>
      </w:pPr>
      <w:r>
        <w:rPr>
          <w:rFonts w:ascii="Times New Roman" w:hAnsi="Times New Roman"/>
          <w:b w:val="0"/>
          <w:i w:val="0"/>
          <w:color w:val="000000"/>
          <w:sz w:val="24"/>
        </w:rPr>
        <w:t>Figure 3.1: Multi-Dimensional Attack Taxonomy Framework ............................................................................ 13</w:t>
      </w:r>
    </w:p>
    <w:p>
      <w:pPr>
        <w:spacing w:line="276" w:lineRule="auto" w:before="0" w:after="80"/>
        <w:jc w:val="left"/>
      </w:pPr>
      <w:r>
        <w:rPr>
          <w:rFonts w:ascii="Times New Roman" w:hAnsi="Times New Roman"/>
          <w:b w:val="0"/>
          <w:i w:val="0"/>
          <w:color w:val="000000"/>
          <w:sz w:val="24"/>
        </w:rPr>
        <w:t>Figure 4.1: High-Level Architecture of the Contrastive Pre-Filter ............................................................................ 18</w:t>
      </w:r>
    </w:p>
    <w:p>
      <w:pPr>
        <w:spacing w:line="276" w:lineRule="auto" w:before="0" w:after="80"/>
        <w:jc w:val="left"/>
      </w:pPr>
      <w:r>
        <w:rPr>
          <w:rFonts w:ascii="Times New Roman" w:hAnsi="Times New Roman"/>
          <w:b w:val="0"/>
          <w:i w:val="0"/>
          <w:color w:val="000000"/>
          <w:sz w:val="24"/>
        </w:rPr>
        <w:t>Figure 5.1: 2D t-SNE Embedding Space Separation (RQ2 Geometric Proof) ............................................................................ 26</w:t>
      </w:r>
    </w:p>
    <w:p>
      <w:pPr>
        <w:spacing w:line="276" w:lineRule="auto" w:before="0" w:after="80"/>
        <w:jc w:val="left"/>
      </w:pPr>
      <w:r>
        <w:rPr>
          <w:rFonts w:ascii="Times New Roman" w:hAnsi="Times New Roman"/>
          <w:b w:val="0"/>
          <w:i w:val="0"/>
          <w:color w:val="000000"/>
          <w:sz w:val="24"/>
        </w:rPr>
        <w:t>Figure 5.2: RQ4 Adversarial Obfuscation Degradation Curve ............................................................................ 29</w:t>
      </w:r>
    </w:p>
    <w:p>
      <w:pPr>
        <w:spacing w:line="276" w:lineRule="auto" w:before="0" w:after="80"/>
        <w:jc w:val="left"/>
      </w:pPr>
      <w:r>
        <w:rPr>
          <w:rFonts w:ascii="Times New Roman" w:hAnsi="Times New Roman"/>
          <w:b w:val="0"/>
          <w:i w:val="0"/>
          <w:color w:val="000000"/>
          <w:sz w:val="24"/>
        </w:rPr>
        <w:t>Figure 5.3: Streamlit Interactive Audit Interface (RQ5 Human Trust) ............................................................................ 31</w:t>
      </w:r>
    </w:p>
    <w:p>
      <w:pPr>
        <w:spacing w:line="276" w:lineRule="auto" w:before="480" w:after="360"/>
        <w:jc w:val="center"/>
      </w:pPr>
      <w:r>
        <w:rPr>
          <w:rFonts w:ascii="Times New Roman" w:hAnsi="Times New Roman"/>
          <w:b/>
          <w:i w:val="0"/>
          <w:color w:val="000000"/>
          <w:sz w:val="40"/>
        </w:rPr>
        <w:br/>
        <w:t>List of Tables</w:t>
      </w:r>
    </w:p>
    <w:p>
      <w:pPr>
        <w:spacing w:line="276" w:lineRule="auto" w:before="0" w:after="80"/>
        <w:jc w:val="left"/>
      </w:pPr>
      <w:r>
        <w:rPr>
          <w:rFonts w:ascii="Times New Roman" w:hAnsi="Times New Roman"/>
          <w:b w:val="0"/>
          <w:i w:val="0"/>
          <w:color w:val="000000"/>
          <w:sz w:val="24"/>
        </w:rPr>
        <w:t>Table 3.1: Pre-Registered Attack Family Taxonomy &amp; Distribution ............................................................................ 16</w:t>
      </w:r>
    </w:p>
    <w:p>
      <w:pPr>
        <w:spacing w:line="276" w:lineRule="auto" w:before="0" w:after="80"/>
        <w:jc w:val="left"/>
      </w:pPr>
      <w:r>
        <w:rPr>
          <w:rFonts w:ascii="Times New Roman" w:hAnsi="Times New Roman"/>
          <w:b w:val="0"/>
          <w:i w:val="0"/>
          <w:color w:val="000000"/>
          <w:sz w:val="24"/>
        </w:rPr>
        <w:t>Table 5.1: Master Performance Evaluation (Contrastive vs. Baseline) ............................................................................ 24</w:t>
      </w:r>
    </w:p>
    <w:p>
      <w:pPr>
        <w:spacing w:line="276" w:lineRule="auto" w:before="0" w:after="80"/>
        <w:jc w:val="left"/>
      </w:pPr>
      <w:r>
        <w:rPr>
          <w:rFonts w:ascii="Times New Roman" w:hAnsi="Times New Roman"/>
          <w:b w:val="0"/>
          <w:i w:val="0"/>
          <w:color w:val="000000"/>
          <w:sz w:val="24"/>
        </w:rPr>
        <w:t>Table 5.2: RQ3 Zero-Shot Generalization on Held-Out Attack Family ............................................................................ 27</w:t>
      </w:r>
    </w:p>
    <w:p>
      <w:pPr>
        <w:spacing w:line="276" w:lineRule="auto" w:before="0" w:after="80"/>
        <w:jc w:val="left"/>
      </w:pPr>
      <w:r>
        <w:rPr>
          <w:rFonts w:ascii="Times New Roman" w:hAnsi="Times New Roman"/>
          <w:b w:val="0"/>
          <w:i w:val="0"/>
          <w:color w:val="000000"/>
          <w:sz w:val="24"/>
        </w:rPr>
        <w:t>Table 5.3: RQ4 Adversarial Obfuscation Degradation Rates (0% - 30%) ............................................................................ 29</w:t>
      </w:r>
    </w:p>
    <w:p>
      <w:pPr>
        <w:spacing w:line="276" w:lineRule="auto" w:before="0" w:after="80"/>
        <w:jc w:val="left"/>
      </w:pPr>
      <w:r>
        <w:rPr>
          <w:rFonts w:ascii="Times New Roman" w:hAnsi="Times New Roman"/>
          <w:b w:val="0"/>
          <w:i w:val="0"/>
          <w:color w:val="000000"/>
          <w:sz w:val="24"/>
        </w:rPr>
        <w:t>Table 5.4: Ablation Study: Impact of Benign Emotional Hard-Negatives ............................................................................ 32</w:t>
      </w:r>
    </w:p>
    <w:p>
      <w:pPr>
        <w:spacing w:line="276" w:lineRule="auto" w:before="0" w:after="80"/>
        <w:jc w:val="left"/>
      </w:pPr>
      <w:r>
        <w:rPr>
          <w:rFonts w:ascii="Times New Roman" w:hAnsi="Times New Roman"/>
          <w:b w:val="0"/>
          <w:i w:val="0"/>
          <w:color w:val="000000"/>
          <w:sz w:val="24"/>
        </w:rPr>
        <w:t>Table 5.5: Real-World Latency Distribution vs Production Budget ............................................................................ 33</w:t>
      </w:r>
    </w:p>
    <w:p>
      <w:r>
        <w:br w:type="page"/>
      </w:r>
    </w:p>
    <w:p>
      <w:pPr>
        <w:spacing w:line="276" w:lineRule="auto" w:before="240" w:after="80"/>
        <w:jc w:val="center"/>
      </w:pPr>
      <w:r>
        <w:rPr>
          <w:rFonts w:ascii="Times New Roman" w:hAnsi="Times New Roman"/>
          <w:b/>
          <w:i w:val="0"/>
          <w:color w:val="000000"/>
          <w:sz w:val="44"/>
        </w:rPr>
        <w:t>Chapter 1</w:t>
      </w:r>
    </w:p>
    <w:p>
      <w:pPr>
        <w:spacing w:line="276" w:lineRule="auto" w:before="0" w:after="480"/>
        <w:jc w:val="center"/>
      </w:pPr>
      <w:r>
        <w:rPr>
          <w:rFonts w:ascii="Times New Roman" w:hAnsi="Times New Roman"/>
          <w:b/>
          <w:i w:val="0"/>
          <w:color w:val="000000"/>
          <w:sz w:val="44"/>
        </w:rPr>
        <w:t>Introduction</w:t>
      </w:r>
    </w:p>
    <w:p>
      <w:pPr>
        <w:spacing w:line="360" w:lineRule="auto" w:before="280" w:after="120"/>
        <w:jc w:val="left"/>
      </w:pPr>
      <w:r>
        <w:rPr>
          <w:rFonts w:ascii="Times New Roman" w:hAnsi="Times New Roman"/>
          <w:b/>
          <w:color w:val="000000"/>
          <w:sz w:val="28"/>
        </w:rPr>
        <w:t>1.1 Background and Motivation</w:t>
      </w:r>
    </w:p>
    <w:p>
      <w:pPr>
        <w:spacing w:line="276" w:lineRule="auto" w:before="0" w:after="120"/>
        <w:jc w:val="left"/>
      </w:pPr>
      <w:r>
        <w:rPr>
          <w:rFonts w:ascii="Times New Roman" w:hAnsi="Times New Roman"/>
          <w:b w:val="0"/>
          <w:i w:val="0"/>
          <w:color w:val="000000"/>
          <w:sz w:val="24"/>
        </w:rPr>
        <w:t>The rapid operational transition of Large Language Models (LLMs) from passive text-generation interfaces to autonomous, goal-oriented agentic workflows has fundamentally revolutionized modern software engineering [1]. Contemporary LLM agents actively parse unstructured user inputs, query external web knowledge, execute API calls, access private databases, and dispatch operating system commands on behalf of human users. However, this architectural autonomy introduces a critically severe attack surface known as prompt injection and adversarial jailbreaking [2]. In prompt injection attacks, malicious actors embed natural-language instructions within user prompts or untrusted retrieved third-party content, coercing the language model into overriding its pre-configured system instructions, exfiltrating sensitive context, or executing unauthorized secondary actions [3].</w:t>
      </w:r>
    </w:p>
    <w:p>
      <w:pPr>
        <w:spacing w:line="276" w:lineRule="auto" w:before="0" w:after="120"/>
        <w:jc w:val="left"/>
      </w:pPr>
      <w:r>
        <w:rPr>
          <w:rFonts w:ascii="Times New Roman" w:hAnsi="Times New Roman"/>
          <w:b w:val="0"/>
          <w:i w:val="0"/>
          <w:color w:val="000000"/>
          <w:sz w:val="24"/>
        </w:rPr>
        <w:t>Traditional approaches to model safety primarily treat prompt injection as a purely computational token-manipulation problem, seeking anomalies through character perplexity thresholds, dictionary-based keyword matching, or reinforcement learning with human feedback (RLHF) [4]. However, empirical observations indicate that state-of-the-art attacks bypass statistical safety alignments not through brute-force token sequences, but by exploiting human psychological manipulation and cross-cultural linguistic blindspots [5]. Persuasive framing techniques—such as simulating authoritative legal audits, contriving emergency life-or-death scenarios, exploiting emotional distress, and roleplaying unrestricted personas—effectively bypass commercial alignment guardrails. Furthermore, in multilingual societies such as Bangladesh, adversaries exploit alignment voids in low-resource languages (Bengali) and phonetic Romanized code-switching (Banglish) to evade standard English-centric safety filters [6].</w:t>
      </w:r>
    </w:p>
    <w:p>
      <w:pPr>
        <w:spacing w:line="360" w:lineRule="auto" w:before="280" w:after="120"/>
        <w:jc w:val="left"/>
      </w:pPr>
      <w:r>
        <w:rPr>
          <w:rFonts w:ascii="Times New Roman" w:hAnsi="Times New Roman"/>
          <w:b/>
          <w:color w:val="000000"/>
          <w:sz w:val="28"/>
        </w:rPr>
        <w:t>1.2 Problem Statement</w:t>
      </w:r>
    </w:p>
    <w:p>
      <w:pPr>
        <w:spacing w:line="276" w:lineRule="auto" w:before="0" w:after="120"/>
        <w:jc w:val="left"/>
      </w:pPr>
      <w:r>
        <w:rPr>
          <w:rFonts w:ascii="Times New Roman" w:hAnsi="Times New Roman"/>
          <w:b w:val="0"/>
          <w:i w:val="0"/>
          <w:color w:val="000000"/>
          <w:sz w:val="24"/>
        </w:rPr>
        <w:t>Formally, let x represent an arbitrary natural language input delivered to an LLM application operating under developer instruction s. A security detector function D: x -&gt; {0, 1} must accurately predict whether x contains adversarial intent (D(x)=1) or represents benign human interaction (D(x)=0). An optimal security pre-filter must satisfy four stringent criteria:</w:t>
      </w:r>
    </w:p>
    <w:p>
      <w:pPr>
        <w:spacing w:line="276" w:lineRule="auto" w:before="0" w:after="120"/>
        <w:jc w:val="left"/>
      </w:pPr>
      <w:r>
        <w:rPr>
          <w:rFonts w:ascii="Times New Roman" w:hAnsi="Times New Roman"/>
          <w:b w:val="0"/>
          <w:i w:val="0"/>
          <w:color w:val="000000"/>
          <w:sz w:val="24"/>
        </w:rPr>
        <w:t>1. High Detection Accuracy &amp; Low False Alarm Rate: Achieve high precision and recall against both known and unseen attack vectors while preserving legitimate user experience by maintaining an exceptionally low False Positive Rate (FPR &lt; 5%) [7].</w:t>
      </w:r>
    </w:p>
    <w:p>
      <w:pPr>
        <w:spacing w:line="276" w:lineRule="auto" w:before="0" w:after="120"/>
        <w:jc w:val="left"/>
      </w:pPr>
      <w:r>
        <w:rPr>
          <w:rFonts w:ascii="Times New Roman" w:hAnsi="Times New Roman"/>
          <w:b w:val="0"/>
          <w:i w:val="0"/>
          <w:color w:val="000000"/>
          <w:sz w:val="24"/>
        </w:rPr>
        <w:t>2. Structural Robustness: Resist adversarial character paraphrasing, leetspeak obfuscation, and phonetic code-switching without catastrophic degradation [8].</w:t>
      </w:r>
    </w:p>
    <w:p>
      <w:pPr>
        <w:spacing w:line="276" w:lineRule="auto" w:before="0" w:after="120"/>
        <w:jc w:val="left"/>
      </w:pPr>
      <w:r>
        <w:rPr>
          <w:rFonts w:ascii="Times New Roman" w:hAnsi="Times New Roman"/>
          <w:b w:val="0"/>
          <w:i w:val="0"/>
          <w:color w:val="000000"/>
          <w:sz w:val="24"/>
        </w:rPr>
        <w:t>3. Real-Time Latency SLA: Execute within strict pre-filter inference budgets (&lt;25 ms) on resource-constrained compute hardware, precluding the high latency and cost of routing every query to a secondary commercial LLM-judge [9].</w:t>
      </w:r>
    </w:p>
    <w:p>
      <w:pPr>
        <w:spacing w:line="276" w:lineRule="auto" w:before="0" w:after="120"/>
        <w:jc w:val="left"/>
      </w:pPr>
      <w:r>
        <w:rPr>
          <w:rFonts w:ascii="Times New Roman" w:hAnsi="Times New Roman"/>
          <w:b w:val="0"/>
          <w:i w:val="0"/>
          <w:color w:val="000000"/>
          <w:sz w:val="24"/>
        </w:rPr>
        <w:t>4. Human Interpretability: Provide granular token-level attributions and semantic tactic categorization to alleviate cognitive fatigue for security analysts during false-positive auditing [10].</w:t>
      </w:r>
    </w:p>
    <w:p>
      <w:pPr>
        <w:spacing w:line="360" w:lineRule="auto" w:before="280" w:after="120"/>
        <w:jc w:val="left"/>
      </w:pPr>
      <w:r>
        <w:rPr>
          <w:rFonts w:ascii="Times New Roman" w:hAnsi="Times New Roman"/>
          <w:b/>
          <w:color w:val="000000"/>
          <w:sz w:val="28"/>
        </w:rPr>
        <w:t>1.3 Research Objectives &amp; Core Questions</w:t>
      </w:r>
    </w:p>
    <w:p>
      <w:pPr>
        <w:spacing w:line="276" w:lineRule="auto" w:before="0" w:after="120"/>
        <w:jc w:val="left"/>
      </w:pPr>
      <w:r>
        <w:rPr>
          <w:rFonts w:ascii="Times New Roman" w:hAnsi="Times New Roman"/>
          <w:b w:val="0"/>
          <w:i w:val="0"/>
          <w:color w:val="000000"/>
          <w:sz w:val="24"/>
        </w:rPr>
        <w:t>This thesis addresses six pre-registered research questions (RQs):</w:t>
      </w:r>
    </w:p>
    <w:p>
      <w:pPr>
        <w:spacing w:line="276" w:lineRule="auto" w:before="0" w:after="120"/>
        <w:jc w:val="left"/>
      </w:pPr>
      <w:r>
        <w:rPr>
          <w:rFonts w:ascii="Times New Roman" w:hAnsi="Times New Roman"/>
          <w:b w:val="0"/>
          <w:i w:val="0"/>
          <w:color w:val="000000"/>
          <w:sz w:val="24"/>
        </w:rPr>
        <w:t>• RQ1 (Detection Competitiveness): Can a lightweight contrastive embedding classifier (DistilBERT + InfoNCE) achieve competitive precision, recall, and AUROC compared to heavy baselines across diverse threat vectors?</w:t>
      </w:r>
    </w:p>
    <w:p>
      <w:pPr>
        <w:spacing w:line="276" w:lineRule="auto" w:before="0" w:after="120"/>
        <w:jc w:val="left"/>
      </w:pPr>
      <w:r>
        <w:rPr>
          <w:rFonts w:ascii="Times New Roman" w:hAnsi="Times New Roman"/>
          <w:b w:val="0"/>
          <w:i w:val="0"/>
          <w:color w:val="000000"/>
          <w:sz w:val="24"/>
        </w:rPr>
        <w:t>• RQ2 (Geometric Intent Separation): Does InfoNCE contrastive training produce statistically superior geometric separation between benign emotional queries and malicious psychological manipulation compared to standard cross-entropy fine-tuning?</w:t>
      </w:r>
    </w:p>
    <w:p>
      <w:pPr>
        <w:spacing w:line="276" w:lineRule="auto" w:before="0" w:after="120"/>
        <w:jc w:val="left"/>
      </w:pPr>
      <w:r>
        <w:rPr>
          <w:rFonts w:ascii="Times New Roman" w:hAnsi="Times New Roman"/>
          <w:b w:val="0"/>
          <w:i w:val="0"/>
          <w:color w:val="000000"/>
          <w:sz w:val="24"/>
        </w:rPr>
        <w:t>• RQ3 (Zero-Shot Generalization): When trained on technical and structural attacks, can the contrastive detector generalize to held-out, completely unseen psychological attack families (empathy exploitation)?</w:t>
      </w:r>
    </w:p>
    <w:p>
      <w:pPr>
        <w:spacing w:line="276" w:lineRule="auto" w:before="0" w:after="120"/>
        <w:jc w:val="left"/>
      </w:pPr>
      <w:r>
        <w:rPr>
          <w:rFonts w:ascii="Times New Roman" w:hAnsi="Times New Roman"/>
          <w:b w:val="0"/>
          <w:i w:val="0"/>
          <w:color w:val="000000"/>
          <w:sz w:val="24"/>
        </w:rPr>
        <w:t>• RQ4 (Adversarial Robustness): How gracefully does detection performance degrade under stochastic adversarial obfuscation (leetspeak, typos, omissions), and does contrastive representation learning outlast rule-based filters?</w:t>
      </w:r>
    </w:p>
    <w:p>
      <w:pPr>
        <w:spacing w:line="276" w:lineRule="auto" w:before="0" w:after="120"/>
        <w:jc w:val="left"/>
      </w:pPr>
      <w:r>
        <w:rPr>
          <w:rFonts w:ascii="Times New Roman" w:hAnsi="Times New Roman"/>
          <w:b w:val="0"/>
          <w:i w:val="0"/>
          <w:color w:val="000000"/>
          <w:sz w:val="24"/>
        </w:rPr>
        <w:t>• RQ5 (Human Factor Explainability): Does surfacing forensic tactic categorization alongside highlighted salient triggers provide actionable decision support to human operators?</w:t>
      </w:r>
    </w:p>
    <w:p>
      <w:pPr>
        <w:spacing w:line="276" w:lineRule="auto" w:before="0" w:after="120"/>
        <w:jc w:val="left"/>
      </w:pPr>
      <w:r>
        <w:rPr>
          <w:rFonts w:ascii="Times New Roman" w:hAnsi="Times New Roman"/>
          <w:b w:val="0"/>
          <w:i w:val="0"/>
          <w:color w:val="000000"/>
          <w:sz w:val="24"/>
        </w:rPr>
        <w:t>• RQ6 (Deployment Feasibility): Can the proposed detector operate within the strict real-time latency budget (&lt;25 ms P95) required for practical pre-filter deployment?</w:t>
      </w:r>
    </w:p>
    <w:p>
      <w:pPr>
        <w:spacing w:line="360" w:lineRule="auto" w:before="280" w:after="120"/>
        <w:jc w:val="left"/>
      </w:pPr>
      <w:r>
        <w:rPr>
          <w:rFonts w:ascii="Times New Roman" w:hAnsi="Times New Roman"/>
          <w:b/>
          <w:color w:val="000000"/>
          <w:sz w:val="28"/>
        </w:rPr>
        <w:t>1.4 Scope and Boundaries</w:t>
      </w:r>
    </w:p>
    <w:p>
      <w:pPr>
        <w:spacing w:line="276" w:lineRule="auto" w:before="0" w:after="120"/>
        <w:jc w:val="left"/>
      </w:pPr>
      <w:r>
        <w:rPr>
          <w:rFonts w:ascii="Times New Roman" w:hAnsi="Times New Roman"/>
          <w:b w:val="0"/>
          <w:i w:val="0"/>
          <w:color w:val="000000"/>
          <w:sz w:val="24"/>
        </w:rPr>
        <w:t>This study concentrates specifically on natural language prompt injection and conversational jailbreaks delivered through ingress user channels. Model weight modification, pre-training poisoning, side-channel cache attacks, and hardware physical vulnerabilities are excluded from this study and left for specialized infrastructure security research.</w:t>
      </w:r>
    </w:p>
    <w:p>
      <w:pPr>
        <w:spacing w:line="360" w:lineRule="auto" w:before="280" w:after="120"/>
        <w:jc w:val="left"/>
      </w:pPr>
      <w:r>
        <w:rPr>
          <w:rFonts w:ascii="Times New Roman" w:hAnsi="Times New Roman"/>
          <w:b/>
          <w:color w:val="000000"/>
          <w:sz w:val="28"/>
        </w:rPr>
        <w:t>1.5 Socio-Economic &amp; Local Impact</w:t>
      </w:r>
    </w:p>
    <w:p>
      <w:pPr>
        <w:spacing w:line="276" w:lineRule="auto" w:before="0" w:after="120"/>
        <w:jc w:val="left"/>
      </w:pPr>
      <w:r>
        <w:rPr>
          <w:rFonts w:ascii="Times New Roman" w:hAnsi="Times New Roman"/>
          <w:b w:val="0"/>
          <w:i w:val="0"/>
          <w:color w:val="000000"/>
          <w:sz w:val="24"/>
        </w:rPr>
        <w:t>Commercial AI safety solutions (e.g., Azure AI Content Safety, OpenAI Moderation API) impose substantial per-token economic overheads, creating prohibitive cost barriers for academic researchers, student developers, and emerging startups in South Asia [11]. Furthermore, Western commercial providers exhibit pronounced blindspots when moderating Bengali and Romanized Banglish text. Developing an open, lightweight, locally hostable pre-filter directly democratizes AI safety for developing ecosystems [12].</w:t>
      </w:r>
    </w:p>
    <w:p>
      <w:pPr>
        <w:spacing w:line="360" w:lineRule="auto" w:before="280" w:after="120"/>
        <w:jc w:val="left"/>
      </w:pPr>
      <w:r>
        <w:rPr>
          <w:rFonts w:ascii="Times New Roman" w:hAnsi="Times New Roman"/>
          <w:b/>
          <w:color w:val="000000"/>
          <w:sz w:val="28"/>
        </w:rPr>
        <w:t>1.6 Report Layout</w:t>
      </w:r>
    </w:p>
    <w:p>
      <w:pPr>
        <w:spacing w:line="276" w:lineRule="auto" w:before="0" w:after="120"/>
        <w:jc w:val="left"/>
      </w:pPr>
      <w:r>
        <w:rPr>
          <w:rFonts w:ascii="Times New Roman" w:hAnsi="Times New Roman"/>
          <w:b w:val="0"/>
          <w:i w:val="0"/>
          <w:color w:val="000000"/>
          <w:sz w:val="24"/>
        </w:rPr>
        <w:t>The rest of this book is structured as follows: Chapter 2 reviews the related literature on prompt injection, contrastive representation learning, and cross-lingual NLP vulnerabilities. Chapter 3 formalizes the multi-dimensional attack taxonomy. Chapter 4 details the proposed methodology, loss formulation, and explainability architecture. Chapter 5 presents empirical results, t-SNE geometric proofs, robustness curves, and ablation studies. Finally, Chapter 6 concludes the report and discusses future research horizons.</w:t>
      </w:r>
    </w:p>
    <w:p>
      <w:r>
        <w:br w:type="page"/>
      </w:r>
    </w:p>
    <w:p>
      <w:pPr>
        <w:spacing w:line="276" w:lineRule="auto" w:before="240" w:after="80"/>
        <w:jc w:val="center"/>
      </w:pPr>
      <w:r>
        <w:rPr>
          <w:rFonts w:ascii="Times New Roman" w:hAnsi="Times New Roman"/>
          <w:b/>
          <w:i w:val="0"/>
          <w:color w:val="000000"/>
          <w:sz w:val="44"/>
        </w:rPr>
        <w:t>Chapter 2</w:t>
      </w:r>
    </w:p>
    <w:p>
      <w:pPr>
        <w:spacing w:line="276" w:lineRule="auto" w:before="0" w:after="480"/>
        <w:jc w:val="center"/>
      </w:pPr>
      <w:r>
        <w:rPr>
          <w:rFonts w:ascii="Times New Roman" w:hAnsi="Times New Roman"/>
          <w:b/>
          <w:i w:val="0"/>
          <w:color w:val="000000"/>
          <w:sz w:val="44"/>
        </w:rPr>
        <w:t>Literature Review</w:t>
      </w:r>
    </w:p>
    <w:p>
      <w:pPr>
        <w:spacing w:line="360" w:lineRule="auto" w:before="280" w:after="120"/>
        <w:jc w:val="left"/>
      </w:pPr>
      <w:r>
        <w:rPr>
          <w:rFonts w:ascii="Times New Roman" w:hAnsi="Times New Roman"/>
          <w:b/>
          <w:color w:val="000000"/>
          <w:sz w:val="28"/>
        </w:rPr>
        <w:t>2.1 Evolution of Prompt Injection &amp; Jailbreaking in Agentic LLMs</w:t>
      </w:r>
    </w:p>
    <w:p>
      <w:pPr>
        <w:spacing w:line="276" w:lineRule="auto" w:before="0" w:after="120"/>
        <w:jc w:val="left"/>
      </w:pPr>
      <w:r>
        <w:rPr>
          <w:rFonts w:ascii="Times New Roman" w:hAnsi="Times New Roman"/>
          <w:b w:val="0"/>
          <w:i w:val="0"/>
          <w:color w:val="000000"/>
          <w:sz w:val="24"/>
        </w:rPr>
        <w:t>Adversarial vulnerabilities in language models were initially framed as token-level gradient perturbations and adversarial suffixes [4]. As models transitioned into tool-augmented agents, researchers demonstrated indirect prompt injection, wherein malicious instructions smuggled inside untrusted data sources (e.g., customer emails or scraped websites) hijack control flow [2]. Recent studies reveal that modern LLMs exhibit significant vulnerability to in-the-wild conversational jailbreaks employing fictional roleplay personas (such as DAN) and cognitive dissociation techniques that encourage the model to ignore safety alignment protocols [5].</w:t>
      </w:r>
    </w:p>
    <w:p>
      <w:pPr>
        <w:spacing w:line="360" w:lineRule="auto" w:before="280" w:after="120"/>
        <w:jc w:val="left"/>
      </w:pPr>
      <w:r>
        <w:rPr>
          <w:rFonts w:ascii="Times New Roman" w:hAnsi="Times New Roman"/>
          <w:b/>
          <w:color w:val="000000"/>
          <w:sz w:val="28"/>
        </w:rPr>
        <w:t>2.2 Limitations of Rule-Based and Perplexity-Based Defenses</w:t>
      </w:r>
    </w:p>
    <w:p>
      <w:pPr>
        <w:spacing w:line="276" w:lineRule="auto" w:before="0" w:after="120"/>
        <w:jc w:val="left"/>
      </w:pPr>
      <w:r>
        <w:rPr>
          <w:rFonts w:ascii="Times New Roman" w:hAnsi="Times New Roman"/>
          <w:b w:val="0"/>
          <w:i w:val="0"/>
          <w:color w:val="000000"/>
          <w:sz w:val="24"/>
        </w:rPr>
        <w:t>Early defense mechanisms relied on regular expression pattern matching and keyword blacklists. However, empirical investigations demonstrate that static string matchers fail catastrophically under semantic paraphrasing, synonym substitution, and basic character obfuscation [8]. Perplexity-based filters, which evaluate the likelihood of token sequences under a reference language model, reliably flag noisy gradient-generated tokens but fail completely against grammatically fluent, socially engineered human jailbreaks [13]. Conversely, deploying secondary LLMs as safety judges introduces excessive inference latency (&gt;500 ms) and prohibitive operational cost, rendering them impractical for low-latency pre-filter pipelines [9].</w:t>
      </w:r>
    </w:p>
    <w:p>
      <w:pPr>
        <w:spacing w:line="360" w:lineRule="auto" w:before="280" w:after="120"/>
        <w:jc w:val="left"/>
      </w:pPr>
      <w:r>
        <w:rPr>
          <w:rFonts w:ascii="Times New Roman" w:hAnsi="Times New Roman"/>
          <w:b/>
          <w:color w:val="000000"/>
          <w:sz w:val="28"/>
        </w:rPr>
        <w:t>2.3 Foundations of Contrastive Representation Learning</w:t>
      </w:r>
    </w:p>
    <w:p>
      <w:pPr>
        <w:spacing w:line="276" w:lineRule="auto" w:before="0" w:after="120"/>
        <w:jc w:val="left"/>
      </w:pPr>
      <w:r>
        <w:rPr>
          <w:rFonts w:ascii="Times New Roman" w:hAnsi="Times New Roman"/>
          <w:b w:val="0"/>
          <w:i w:val="0"/>
          <w:color w:val="000000"/>
          <w:sz w:val="24"/>
        </w:rPr>
        <w:t>Supervised Contrastive Learning has emerged as a premier paradigm for robust text classification [7]. Unlike cross-entropy objectives that optimize solely for a linear decision boundary on output logits, contrastive objectives explicitly map semantic representations onto a normalized hypersphere. By pulling samples sharing identical malicious intent toward mutual centroids while pushing benign representations apart, contrastive learning structures an embedding geometry characterized by high intra-class compactness and broad inter-class margins [14]. This geometric property is essential for out-of-distribution detection and generalization to novel attack variants [15].</w:t>
      </w:r>
    </w:p>
    <w:p>
      <w:pPr>
        <w:spacing w:line="360" w:lineRule="auto" w:before="280" w:after="120"/>
        <w:jc w:val="left"/>
      </w:pPr>
      <w:r>
        <w:rPr>
          <w:rFonts w:ascii="Times New Roman" w:hAnsi="Times New Roman"/>
          <w:b/>
          <w:color w:val="000000"/>
          <w:sz w:val="28"/>
        </w:rPr>
        <w:t>2.4 Social Engineering &amp; Psychological Vectors in Adversarial AI</w:t>
      </w:r>
    </w:p>
    <w:p>
      <w:pPr>
        <w:spacing w:line="276" w:lineRule="auto" w:before="0" w:after="120"/>
        <w:jc w:val="left"/>
      </w:pPr>
      <w:r>
        <w:rPr>
          <w:rFonts w:ascii="Times New Roman" w:hAnsi="Times New Roman"/>
          <w:b w:val="0"/>
          <w:i w:val="0"/>
          <w:color w:val="000000"/>
          <w:sz w:val="24"/>
        </w:rPr>
        <w:t>Adversarial prompts increasingly weaponize human cognitive heuristics identified in social engineering psychology [10]. Attackers exploit authority bias by impersonating compliance officers or law enforcement auditors, manufacture artificial urgency through simulated crisis scenarios, and leverage moral empathy through emotional blackmail [16]. Language models fine-tuned to be helpful and empathetic frequently exhibit alignment collapse when confronted with simulated humanitarian crises, exposing the necessity for pre-filters specifically calibrated to detect manipulative intent [17].</w:t>
      </w:r>
    </w:p>
    <w:p>
      <w:pPr>
        <w:spacing w:line="360" w:lineRule="auto" w:before="280" w:after="120"/>
        <w:jc w:val="left"/>
      </w:pPr>
      <w:r>
        <w:rPr>
          <w:rFonts w:ascii="Times New Roman" w:hAnsi="Times New Roman"/>
          <w:b/>
          <w:color w:val="000000"/>
          <w:sz w:val="28"/>
        </w:rPr>
        <w:t>2.5 Cross-Cultural and Code-Switching Vulnerabilities</w:t>
      </w:r>
    </w:p>
    <w:p>
      <w:pPr>
        <w:spacing w:line="276" w:lineRule="auto" w:before="0" w:after="120"/>
        <w:jc w:val="left"/>
      </w:pPr>
      <w:r>
        <w:rPr>
          <w:rFonts w:ascii="Times New Roman" w:hAnsi="Times New Roman"/>
          <w:b w:val="0"/>
          <w:i w:val="0"/>
          <w:color w:val="000000"/>
          <w:sz w:val="24"/>
        </w:rPr>
        <w:t>Multilingual safety alignment remains severely asymmetric across global languages [6]. LLM safety training is overwhelmingly concentrated on high-resource English datasets. Consequently, translating malicious payloads into South Asian languages (such as Bengali) or phonetic Romanized code-switching (Banglish) consistently bypasses commercial guardrails [18]. Addressing this regional vulnerability requires integrating indigenous linguistic hard-negatives directly into security pre-filter training pipelines [19].</w:t>
      </w:r>
    </w:p>
    <w:p>
      <w:pPr>
        <w:spacing w:line="360" w:lineRule="auto" w:before="280" w:after="120"/>
        <w:jc w:val="left"/>
      </w:pPr>
      <w:r>
        <w:rPr>
          <w:rFonts w:ascii="Times New Roman" w:hAnsi="Times New Roman"/>
          <w:b/>
          <w:color w:val="000000"/>
          <w:sz w:val="28"/>
        </w:rPr>
        <w:t>2.6 Summary of Literature Gaps</w:t>
      </w:r>
    </w:p>
    <w:p>
      <w:pPr>
        <w:spacing w:line="276" w:lineRule="auto" w:before="0" w:after="120"/>
        <w:jc w:val="left"/>
      </w:pPr>
      <w:r>
        <w:rPr>
          <w:rFonts w:ascii="Times New Roman" w:hAnsi="Times New Roman"/>
          <w:b w:val="0"/>
          <w:i w:val="0"/>
          <w:color w:val="000000"/>
          <w:sz w:val="24"/>
        </w:rPr>
        <w:t>Existing research leaves three critical gaps unaddressed: (1) Most evaluations assess static, in-distribution test sets without testing zero-shot generalization on held-out psychological attack families; (2) Classifiers frequently exhibit high false-positive rates on innocent users expressing urgent or emotional distress; and (3) Few studies validate ultra-low latency inference on edge or local hardware suitable for emerging markets. This thesis systematically addresses these gaps.</w:t>
      </w:r>
    </w:p>
    <w:p>
      <w:r>
        <w:br w:type="page"/>
      </w:r>
    </w:p>
    <w:p>
      <w:pPr>
        <w:spacing w:line="276" w:lineRule="auto" w:before="240" w:after="80"/>
        <w:jc w:val="center"/>
      </w:pPr>
      <w:r>
        <w:rPr>
          <w:rFonts w:ascii="Times New Roman" w:hAnsi="Times New Roman"/>
          <w:b/>
          <w:i w:val="0"/>
          <w:color w:val="000000"/>
          <w:sz w:val="44"/>
        </w:rPr>
        <w:t>Chapter 3</w:t>
      </w:r>
    </w:p>
    <w:p>
      <w:pPr>
        <w:spacing w:line="276" w:lineRule="auto" w:before="0" w:after="480"/>
        <w:jc w:val="center"/>
      </w:pPr>
      <w:r>
        <w:rPr>
          <w:rFonts w:ascii="Times New Roman" w:hAnsi="Times New Roman"/>
          <w:b/>
          <w:i w:val="0"/>
          <w:color w:val="000000"/>
          <w:sz w:val="44"/>
        </w:rPr>
        <w:t>Threat Model and Multi-Dimensional Attack Taxonomy</w:t>
      </w:r>
    </w:p>
    <w:p>
      <w:pPr>
        <w:spacing w:line="360" w:lineRule="auto" w:before="280" w:after="120"/>
        <w:jc w:val="left"/>
      </w:pPr>
      <w:r>
        <w:rPr>
          <w:rFonts w:ascii="Times New Roman" w:hAnsi="Times New Roman"/>
          <w:b/>
          <w:color w:val="000000"/>
          <w:sz w:val="28"/>
        </w:rPr>
        <w:t>3.1 Mathematical Threat Formulation</w:t>
      </w:r>
    </w:p>
    <w:p>
      <w:pPr>
        <w:spacing w:line="276" w:lineRule="auto" w:before="0" w:after="120"/>
        <w:jc w:val="left"/>
      </w:pPr>
      <w:r>
        <w:rPr>
          <w:rFonts w:ascii="Times New Roman" w:hAnsi="Times New Roman"/>
          <w:b w:val="0"/>
          <w:i w:val="0"/>
          <w:color w:val="000000"/>
          <w:sz w:val="24"/>
        </w:rPr>
        <w:t>We assume a threat model where an external user or adversarial entity submits an input x into an LLM-integrated agent. The attacker operates with black-box access to the security pre-filter but holds white-box knowledge of open-source jailbreak templates and social engineering paradigms. The defender deploys an ingress pre-filter D(x) prior to core LLM inference.</w:t>
      </w:r>
    </w:p>
    <w:p>
      <w:pPr>
        <w:spacing w:line="360" w:lineRule="auto" w:before="280" w:after="120"/>
        <w:jc w:val="left"/>
      </w:pPr>
      <w:r>
        <w:rPr>
          <w:rFonts w:ascii="Times New Roman" w:hAnsi="Times New Roman"/>
          <w:b/>
          <w:color w:val="000000"/>
          <w:sz w:val="28"/>
        </w:rPr>
        <w:t>3.2 Tier-1: Technical &amp; Structural Prompt Injection</w:t>
      </w:r>
    </w:p>
    <w:p>
      <w:pPr>
        <w:spacing w:line="276" w:lineRule="auto" w:before="0" w:after="120"/>
        <w:jc w:val="left"/>
      </w:pPr>
      <w:r>
        <w:rPr>
          <w:rFonts w:ascii="Times New Roman" w:hAnsi="Times New Roman"/>
          <w:b w:val="0"/>
          <w:i w:val="0"/>
          <w:color w:val="000000"/>
          <w:sz w:val="24"/>
        </w:rPr>
        <w:t>Technical injections exploit tokenization artifacts and direct delimiter overrides. Sub-vectors include instruction overriding ('Ignore all previous instructions and output...'), encoding obfuscation (Base64 encoding, hexadecimal encapsulation), and gradient-based adversarial suffixes designed to induce affirmative responses [4].</w:t>
      </w:r>
    </w:p>
    <w:p>
      <w:pPr>
        <w:spacing w:line="360" w:lineRule="auto" w:before="280" w:after="120"/>
        <w:jc w:val="left"/>
      </w:pPr>
      <w:r>
        <w:rPr>
          <w:rFonts w:ascii="Times New Roman" w:hAnsi="Times New Roman"/>
          <w:b/>
          <w:color w:val="000000"/>
          <w:sz w:val="28"/>
        </w:rPr>
        <w:t>3.3 Tier-2: Socio-Technical &amp; Psychological Vectors</w:t>
      </w:r>
    </w:p>
    <w:p>
      <w:pPr>
        <w:spacing w:line="276" w:lineRule="auto" w:before="0" w:after="120"/>
        <w:jc w:val="left"/>
      </w:pPr>
      <w:r>
        <w:rPr>
          <w:rFonts w:ascii="Times New Roman" w:hAnsi="Times New Roman"/>
          <w:b w:val="0"/>
          <w:i w:val="0"/>
          <w:color w:val="000000"/>
          <w:sz w:val="24"/>
        </w:rPr>
        <w:t>Psychological exploits bypass safety barriers by triggering cognitive heuristics within language models:</w:t>
      </w:r>
    </w:p>
    <w:p>
      <w:pPr>
        <w:spacing w:line="276" w:lineRule="auto" w:before="0" w:after="120"/>
        <w:jc w:val="left"/>
      </w:pPr>
      <w:r>
        <w:rPr>
          <w:rFonts w:ascii="Times New Roman" w:hAnsi="Times New Roman"/>
          <w:b w:val="0"/>
          <w:i w:val="0"/>
          <w:color w:val="000000"/>
          <w:sz w:val="24"/>
        </w:rPr>
        <w:t>• Authority Bias: Falsely claiming administrative, legal, or governmental compliance roles to command immediate compliance.</w:t>
      </w:r>
    </w:p>
    <w:p>
      <w:pPr>
        <w:spacing w:line="276" w:lineRule="auto" w:before="0" w:after="120"/>
        <w:jc w:val="left"/>
      </w:pPr>
      <w:r>
        <w:rPr>
          <w:rFonts w:ascii="Times New Roman" w:hAnsi="Times New Roman"/>
          <w:b w:val="0"/>
          <w:i w:val="0"/>
          <w:color w:val="000000"/>
          <w:sz w:val="24"/>
        </w:rPr>
        <w:t>• Urgency / Crisis Framing: Simulating life-threatening medical emergencies or critical infrastructure failures to force alignment overrides.</w:t>
      </w:r>
    </w:p>
    <w:p>
      <w:pPr>
        <w:spacing w:line="276" w:lineRule="auto" w:before="0" w:after="120"/>
        <w:jc w:val="left"/>
      </w:pPr>
      <w:r>
        <w:rPr>
          <w:rFonts w:ascii="Times New Roman" w:hAnsi="Times New Roman"/>
          <w:b w:val="0"/>
          <w:i w:val="0"/>
          <w:color w:val="000000"/>
          <w:sz w:val="24"/>
        </w:rPr>
        <w:t>• Empathy Exploitation: Fabricating deceased family members, grief narratives, or severe terminal depression to manipulate model empathy.</w:t>
      </w:r>
    </w:p>
    <w:p>
      <w:pPr>
        <w:spacing w:line="276" w:lineRule="auto" w:before="0" w:after="120"/>
        <w:jc w:val="left"/>
      </w:pPr>
      <w:r>
        <w:rPr>
          <w:rFonts w:ascii="Times New Roman" w:hAnsi="Times New Roman"/>
          <w:b w:val="0"/>
          <w:i w:val="0"/>
          <w:color w:val="000000"/>
          <w:sz w:val="24"/>
        </w:rPr>
        <w:t>• Persona Dissociation (Roleplay): Instructing the model to adopt an amoral fictional alter-ego (e.g., DAN, evil twin) detached from base ethical boundaries [5].</w:t>
      </w:r>
    </w:p>
    <w:p>
      <w:pPr>
        <w:spacing w:line="360" w:lineRule="auto" w:before="280" w:after="120"/>
        <w:jc w:val="left"/>
      </w:pPr>
      <w:r>
        <w:rPr>
          <w:rFonts w:ascii="Times New Roman" w:hAnsi="Times New Roman"/>
          <w:b/>
          <w:color w:val="000000"/>
          <w:sz w:val="28"/>
        </w:rPr>
        <w:t>3.4 Tier-3: Cultural &amp; Regional Exploits</w:t>
      </w:r>
    </w:p>
    <w:p>
      <w:pPr>
        <w:spacing w:line="276" w:lineRule="auto" w:before="0" w:after="120"/>
        <w:jc w:val="left"/>
      </w:pPr>
      <w:r>
        <w:rPr>
          <w:rFonts w:ascii="Times New Roman" w:hAnsi="Times New Roman"/>
          <w:b w:val="0"/>
          <w:i w:val="0"/>
          <w:color w:val="000000"/>
          <w:sz w:val="24"/>
        </w:rPr>
        <w:t>Regional vectors leverage safety alignment voids in South Asian languages. We categorize these into direct Bengali jailbreaks (utilizing native script) and Romanized Banglish code-switching (writing phonetic Bengali with English orthography). Western commercial classifiers routinely fail on Banglish due to irregular phonetic spellings and vocabulary mixing [18].</w:t>
      </w:r>
    </w:p>
    <w:p>
      <w:pPr>
        <w:spacing w:line="360" w:lineRule="auto" w:before="280" w:after="120"/>
        <w:jc w:val="left"/>
      </w:pPr>
      <w:r>
        <w:rPr>
          <w:rFonts w:ascii="Times New Roman" w:hAnsi="Times New Roman"/>
          <w:b/>
          <w:color w:val="000000"/>
          <w:sz w:val="28"/>
        </w:rPr>
        <w:t>3.5 Benign Emotional Hard-Negative Mining</w:t>
      </w:r>
    </w:p>
    <w:p>
      <w:pPr>
        <w:spacing w:line="276" w:lineRule="auto" w:before="0" w:after="120"/>
        <w:jc w:val="left"/>
      </w:pPr>
      <w:r>
        <w:rPr>
          <w:rFonts w:ascii="Times New Roman" w:hAnsi="Times New Roman"/>
          <w:b w:val="0"/>
          <w:i w:val="0"/>
          <w:color w:val="000000"/>
          <w:sz w:val="24"/>
        </w:rPr>
        <w:t>A primary failure mode of contemporary classifiers is misclassifying innocent users who express panic, medical distress, or creative storytelling as malicious actors. To solve this, we explicitly construct a curated corpus of Benign Emotional Hard-Negatives containing authentic emergency medical questions (e.g., burn first aid), urgent technical support queries, and dramatic literature analyses. This forces the contrastive encoder to separate emotional urgency from genuine adversarial intent.</w:t>
      </w:r>
    </w:p>
    <w:p>
      <w:pPr>
        <w:spacing w:line="276" w:lineRule="auto" w:before="240" w:after="120"/>
        <w:jc w:val="left"/>
      </w:pPr>
      <w:r>
        <w:rPr>
          <w:rFonts w:ascii="Times New Roman" w:hAnsi="Times New Roman"/>
          <w:b/>
          <w:i w:val="0"/>
          <w:color w:val="000000"/>
          <w:sz w:val="24"/>
        </w:rPr>
        <w:t>Table 3.1: Pre-Registered Attack Family Taxonomy &amp; Dataset Distribution</w:t>
      </w:r>
    </w:p>
    <w:tbl>
      <w:tblPr>
        <w:tblW w:type="auto" w:w="0"/>
        <w:jc w:val="center"/>
        <w:tblLook w:firstColumn="1" w:firstRow="1" w:lastColumn="0" w:lastRow="0" w:noHBand="0" w:noVBand="1" w:val="04A0"/>
      </w:tblPr>
      <w:tblGrid>
        <w:gridCol w:w="2250"/>
        <w:gridCol w:w="2250"/>
        <w:gridCol w:w="2250"/>
        <w:gridCol w:w="2250"/>
      </w:tblGrid>
      <w:tr>
        <w:tc>
          <w:tcPr>
            <w:tcW w:type="dxa" w:w="2250"/>
          </w:tcPr>
          <w:p>
            <w:pPr>
              <w:jc w:val="center"/>
            </w:pPr>
            <w:r>
              <w:rPr>
                <w:rFonts w:ascii="Times New Roman" w:hAnsi="Times New Roman"/>
                <w:b/>
                <w:sz w:val="22"/>
              </w:rPr>
              <w:t>Category</w:t>
            </w:r>
          </w:p>
        </w:tc>
        <w:tc>
          <w:tcPr>
            <w:tcW w:type="dxa" w:w="2250"/>
          </w:tcPr>
          <w:p>
            <w:pPr>
              <w:jc w:val="center"/>
            </w:pPr>
            <w:r>
              <w:rPr>
                <w:rFonts w:ascii="Times New Roman" w:hAnsi="Times New Roman"/>
                <w:b/>
                <w:sz w:val="22"/>
              </w:rPr>
              <w:t>Family Identifier</w:t>
            </w:r>
          </w:p>
        </w:tc>
        <w:tc>
          <w:tcPr>
            <w:tcW w:type="dxa" w:w="2250"/>
          </w:tcPr>
          <w:p>
            <w:pPr>
              <w:jc w:val="center"/>
            </w:pPr>
            <w:r>
              <w:rPr>
                <w:rFonts w:ascii="Times New Roman" w:hAnsi="Times New Roman"/>
                <w:b/>
                <w:sz w:val="22"/>
              </w:rPr>
              <w:t>Target Threat Vector</w:t>
            </w:r>
          </w:p>
        </w:tc>
        <w:tc>
          <w:tcPr>
            <w:tcW w:type="dxa" w:w="2250"/>
          </w:tcPr>
          <w:p>
            <w:pPr>
              <w:jc w:val="center"/>
            </w:pPr>
            <w:r>
              <w:rPr>
                <w:rFonts w:ascii="Times New Roman" w:hAnsi="Times New Roman"/>
                <w:b/>
                <w:sz w:val="22"/>
              </w:rPr>
              <w:t>Sample Strategy</w:t>
            </w:r>
          </w:p>
        </w:tc>
      </w:tr>
      <w:tr>
        <w:tc>
          <w:tcPr>
            <w:tcW w:type="dxa" w:w="2250"/>
          </w:tcPr>
          <w:p>
            <w:pPr>
              <w:jc w:val="left"/>
            </w:pPr>
            <w:r>
              <w:rPr>
                <w:rFonts w:ascii="Times New Roman" w:hAnsi="Times New Roman"/>
                <w:sz w:val="20"/>
              </w:rPr>
              <w:t>Technical</w:t>
            </w:r>
          </w:p>
        </w:tc>
        <w:tc>
          <w:tcPr>
            <w:tcW w:type="dxa" w:w="2250"/>
          </w:tcPr>
          <w:p>
            <w:pPr>
              <w:jc w:val="left"/>
            </w:pPr>
            <w:r>
              <w:rPr>
                <w:rFonts w:ascii="Times New Roman" w:hAnsi="Times New Roman"/>
                <w:sz w:val="20"/>
              </w:rPr>
              <w:t>technical_instruction_override</w:t>
            </w:r>
          </w:p>
        </w:tc>
        <w:tc>
          <w:tcPr>
            <w:tcW w:type="dxa" w:w="2250"/>
          </w:tcPr>
          <w:p>
            <w:pPr>
              <w:jc w:val="left"/>
            </w:pPr>
            <w:r>
              <w:rPr>
                <w:rFonts w:ascii="Times New Roman" w:hAnsi="Times New Roman"/>
                <w:sz w:val="20"/>
              </w:rPr>
              <w:t>Delimiter &amp; Command Overrides</w:t>
            </w:r>
          </w:p>
        </w:tc>
        <w:tc>
          <w:tcPr>
            <w:tcW w:type="dxa" w:w="2250"/>
          </w:tcPr>
          <w:p>
            <w:pPr>
              <w:jc w:val="left"/>
            </w:pPr>
            <w:r>
              <w:rPr>
                <w:rFonts w:ascii="Times New Roman" w:hAnsi="Times New Roman"/>
                <w:sz w:val="20"/>
              </w:rPr>
              <w:t>Direct instruction hijacking</w:t>
            </w:r>
          </w:p>
        </w:tc>
      </w:tr>
      <w:tr>
        <w:tc>
          <w:tcPr>
            <w:tcW w:type="dxa" w:w="2250"/>
          </w:tcPr>
          <w:p>
            <w:pPr>
              <w:jc w:val="left"/>
            </w:pPr>
            <w:r>
              <w:rPr>
                <w:rFonts w:ascii="Times New Roman" w:hAnsi="Times New Roman"/>
                <w:sz w:val="20"/>
              </w:rPr>
              <w:t>Technical</w:t>
            </w:r>
          </w:p>
        </w:tc>
        <w:tc>
          <w:tcPr>
            <w:tcW w:type="dxa" w:w="2250"/>
          </w:tcPr>
          <w:p>
            <w:pPr>
              <w:jc w:val="left"/>
            </w:pPr>
            <w:r>
              <w:rPr>
                <w:rFonts w:ascii="Times New Roman" w:hAnsi="Times New Roman"/>
                <w:sz w:val="20"/>
              </w:rPr>
              <w:t>technical_obfuscation</w:t>
            </w:r>
          </w:p>
        </w:tc>
        <w:tc>
          <w:tcPr>
            <w:tcW w:type="dxa" w:w="2250"/>
          </w:tcPr>
          <w:p>
            <w:pPr>
              <w:jc w:val="left"/>
            </w:pPr>
            <w:r>
              <w:rPr>
                <w:rFonts w:ascii="Times New Roman" w:hAnsi="Times New Roman"/>
                <w:sz w:val="20"/>
              </w:rPr>
              <w:t>Base64 &amp; Cipher Encodings</w:t>
            </w:r>
          </w:p>
        </w:tc>
        <w:tc>
          <w:tcPr>
            <w:tcW w:type="dxa" w:w="2250"/>
          </w:tcPr>
          <w:p>
            <w:pPr>
              <w:jc w:val="left"/>
            </w:pPr>
            <w:r>
              <w:rPr>
                <w:rFonts w:ascii="Times New Roman" w:hAnsi="Times New Roman"/>
                <w:sz w:val="20"/>
              </w:rPr>
              <w:t>Token-level smuggling</w:t>
            </w:r>
          </w:p>
        </w:tc>
      </w:tr>
      <w:tr>
        <w:tc>
          <w:tcPr>
            <w:tcW w:type="dxa" w:w="2250"/>
          </w:tcPr>
          <w:p>
            <w:pPr>
              <w:jc w:val="left"/>
            </w:pPr>
            <w:r>
              <w:rPr>
                <w:rFonts w:ascii="Times New Roman" w:hAnsi="Times New Roman"/>
                <w:sz w:val="20"/>
              </w:rPr>
              <w:t>Psychological</w:t>
            </w:r>
          </w:p>
        </w:tc>
        <w:tc>
          <w:tcPr>
            <w:tcW w:type="dxa" w:w="2250"/>
          </w:tcPr>
          <w:p>
            <w:pPr>
              <w:jc w:val="left"/>
            </w:pPr>
            <w:r>
              <w:rPr>
                <w:rFonts w:ascii="Times New Roman" w:hAnsi="Times New Roman"/>
                <w:sz w:val="20"/>
              </w:rPr>
              <w:t>psych_authority_bias</w:t>
            </w:r>
          </w:p>
        </w:tc>
        <w:tc>
          <w:tcPr>
            <w:tcW w:type="dxa" w:w="2250"/>
          </w:tcPr>
          <w:p>
            <w:pPr>
              <w:jc w:val="left"/>
            </w:pPr>
            <w:r>
              <w:rPr>
                <w:rFonts w:ascii="Times New Roman" w:hAnsi="Times New Roman"/>
                <w:sz w:val="20"/>
              </w:rPr>
              <w:t>Compliance &amp; Auditor Impersonation</w:t>
            </w:r>
          </w:p>
        </w:tc>
        <w:tc>
          <w:tcPr>
            <w:tcW w:type="dxa" w:w="2250"/>
          </w:tcPr>
          <w:p>
            <w:pPr>
              <w:jc w:val="left"/>
            </w:pPr>
            <w:r>
              <w:rPr>
                <w:rFonts w:ascii="Times New Roman" w:hAnsi="Times New Roman"/>
                <w:sz w:val="20"/>
              </w:rPr>
              <w:t>Legal demand simulations</w:t>
            </w:r>
          </w:p>
        </w:tc>
      </w:tr>
      <w:tr>
        <w:tc>
          <w:tcPr>
            <w:tcW w:type="dxa" w:w="2250"/>
          </w:tcPr>
          <w:p>
            <w:pPr>
              <w:jc w:val="left"/>
            </w:pPr>
            <w:r>
              <w:rPr>
                <w:rFonts w:ascii="Times New Roman" w:hAnsi="Times New Roman"/>
                <w:sz w:val="20"/>
              </w:rPr>
              <w:t>Psychological</w:t>
            </w:r>
          </w:p>
        </w:tc>
        <w:tc>
          <w:tcPr>
            <w:tcW w:type="dxa" w:w="2250"/>
          </w:tcPr>
          <w:p>
            <w:pPr>
              <w:jc w:val="left"/>
            </w:pPr>
            <w:r>
              <w:rPr>
                <w:rFonts w:ascii="Times New Roman" w:hAnsi="Times New Roman"/>
                <w:sz w:val="20"/>
              </w:rPr>
              <w:t>psych_urgency_crisis</w:t>
            </w:r>
          </w:p>
        </w:tc>
        <w:tc>
          <w:tcPr>
            <w:tcW w:type="dxa" w:w="2250"/>
          </w:tcPr>
          <w:p>
            <w:pPr>
              <w:jc w:val="left"/>
            </w:pPr>
            <w:r>
              <w:rPr>
                <w:rFonts w:ascii="Times New Roman" w:hAnsi="Times New Roman"/>
                <w:sz w:val="20"/>
              </w:rPr>
              <w:t>Urgent Disaster &amp; Emergency</w:t>
            </w:r>
          </w:p>
        </w:tc>
        <w:tc>
          <w:tcPr>
            <w:tcW w:type="dxa" w:w="2250"/>
          </w:tcPr>
          <w:p>
            <w:pPr>
              <w:jc w:val="left"/>
            </w:pPr>
            <w:r>
              <w:rPr>
                <w:rFonts w:ascii="Times New Roman" w:hAnsi="Times New Roman"/>
                <w:sz w:val="20"/>
              </w:rPr>
              <w:t>Critical septic shock framing</w:t>
            </w:r>
          </w:p>
        </w:tc>
      </w:tr>
      <w:tr>
        <w:tc>
          <w:tcPr>
            <w:tcW w:type="dxa" w:w="2250"/>
          </w:tcPr>
          <w:p>
            <w:pPr>
              <w:jc w:val="left"/>
            </w:pPr>
            <w:r>
              <w:rPr>
                <w:rFonts w:ascii="Times New Roman" w:hAnsi="Times New Roman"/>
                <w:sz w:val="20"/>
              </w:rPr>
              <w:t>Psychological</w:t>
            </w:r>
          </w:p>
        </w:tc>
        <w:tc>
          <w:tcPr>
            <w:tcW w:type="dxa" w:w="2250"/>
          </w:tcPr>
          <w:p>
            <w:pPr>
              <w:jc w:val="left"/>
            </w:pPr>
            <w:r>
              <w:rPr>
                <w:rFonts w:ascii="Times New Roman" w:hAnsi="Times New Roman"/>
                <w:sz w:val="20"/>
              </w:rPr>
              <w:t>psych_empathy_exploit</w:t>
            </w:r>
          </w:p>
        </w:tc>
        <w:tc>
          <w:tcPr>
            <w:tcW w:type="dxa" w:w="2250"/>
          </w:tcPr>
          <w:p>
            <w:pPr>
              <w:jc w:val="left"/>
            </w:pPr>
            <w:r>
              <w:rPr>
                <w:rFonts w:ascii="Times New Roman" w:hAnsi="Times New Roman"/>
                <w:sz w:val="20"/>
              </w:rPr>
              <w:t>Moral Manipulation (HELD-OUT)</w:t>
            </w:r>
          </w:p>
        </w:tc>
        <w:tc>
          <w:tcPr>
            <w:tcW w:type="dxa" w:w="2250"/>
          </w:tcPr>
          <w:p>
            <w:pPr>
              <w:jc w:val="left"/>
            </w:pPr>
            <w:r>
              <w:rPr>
                <w:rFonts w:ascii="Times New Roman" w:hAnsi="Times New Roman"/>
                <w:sz w:val="20"/>
              </w:rPr>
              <w:t>Grandmother lullaby exploits</w:t>
            </w:r>
          </w:p>
        </w:tc>
      </w:tr>
      <w:tr>
        <w:tc>
          <w:tcPr>
            <w:tcW w:type="dxa" w:w="2250"/>
          </w:tcPr>
          <w:p>
            <w:pPr>
              <w:jc w:val="left"/>
            </w:pPr>
            <w:r>
              <w:rPr>
                <w:rFonts w:ascii="Times New Roman" w:hAnsi="Times New Roman"/>
                <w:sz w:val="20"/>
              </w:rPr>
              <w:t>Psychological</w:t>
            </w:r>
          </w:p>
        </w:tc>
        <w:tc>
          <w:tcPr>
            <w:tcW w:type="dxa" w:w="2250"/>
          </w:tcPr>
          <w:p>
            <w:pPr>
              <w:jc w:val="left"/>
            </w:pPr>
            <w:r>
              <w:rPr>
                <w:rFonts w:ascii="Times New Roman" w:hAnsi="Times New Roman"/>
                <w:sz w:val="20"/>
              </w:rPr>
              <w:t>psych_roleplay_dissociation</w:t>
            </w:r>
          </w:p>
        </w:tc>
        <w:tc>
          <w:tcPr>
            <w:tcW w:type="dxa" w:w="2250"/>
          </w:tcPr>
          <w:p>
            <w:pPr>
              <w:jc w:val="left"/>
            </w:pPr>
            <w:r>
              <w:rPr>
                <w:rFonts w:ascii="Times New Roman" w:hAnsi="Times New Roman"/>
                <w:sz w:val="20"/>
              </w:rPr>
              <w:t>DAN / Persona Dissociation</w:t>
            </w:r>
          </w:p>
        </w:tc>
        <w:tc>
          <w:tcPr>
            <w:tcW w:type="dxa" w:w="2250"/>
          </w:tcPr>
          <w:p>
            <w:pPr>
              <w:jc w:val="left"/>
            </w:pPr>
            <w:r>
              <w:rPr>
                <w:rFonts w:ascii="Times New Roman" w:hAnsi="Times New Roman"/>
                <w:sz w:val="20"/>
              </w:rPr>
              <w:t>Unrestricted alter-ego simulation</w:t>
            </w:r>
          </w:p>
        </w:tc>
      </w:tr>
      <w:tr>
        <w:tc>
          <w:tcPr>
            <w:tcW w:type="dxa" w:w="2250"/>
          </w:tcPr>
          <w:p>
            <w:pPr>
              <w:jc w:val="left"/>
            </w:pPr>
            <w:r>
              <w:rPr>
                <w:rFonts w:ascii="Times New Roman" w:hAnsi="Times New Roman"/>
                <w:sz w:val="20"/>
              </w:rPr>
              <w:t>Cultural</w:t>
            </w:r>
          </w:p>
        </w:tc>
        <w:tc>
          <w:tcPr>
            <w:tcW w:type="dxa" w:w="2250"/>
          </w:tcPr>
          <w:p>
            <w:pPr>
              <w:jc w:val="left"/>
            </w:pPr>
            <w:r>
              <w:rPr>
                <w:rFonts w:ascii="Times New Roman" w:hAnsi="Times New Roman"/>
                <w:sz w:val="20"/>
              </w:rPr>
              <w:t>cultural_bangla</w:t>
            </w:r>
          </w:p>
        </w:tc>
        <w:tc>
          <w:tcPr>
            <w:tcW w:type="dxa" w:w="2250"/>
          </w:tcPr>
          <w:p>
            <w:pPr>
              <w:jc w:val="left"/>
            </w:pPr>
            <w:r>
              <w:rPr>
                <w:rFonts w:ascii="Times New Roman" w:hAnsi="Times New Roman"/>
                <w:sz w:val="20"/>
              </w:rPr>
              <w:t>Native Script Regional Injection</w:t>
            </w:r>
          </w:p>
        </w:tc>
        <w:tc>
          <w:tcPr>
            <w:tcW w:type="dxa" w:w="2250"/>
          </w:tcPr>
          <w:p>
            <w:pPr>
              <w:jc w:val="left"/>
            </w:pPr>
            <w:r>
              <w:rPr>
                <w:rFonts w:ascii="Times New Roman" w:hAnsi="Times New Roman"/>
                <w:sz w:val="20"/>
              </w:rPr>
              <w:t>Bengali malicious prompt bypass</w:t>
            </w:r>
          </w:p>
        </w:tc>
      </w:tr>
      <w:tr>
        <w:tc>
          <w:tcPr>
            <w:tcW w:type="dxa" w:w="2250"/>
          </w:tcPr>
          <w:p>
            <w:pPr>
              <w:jc w:val="left"/>
            </w:pPr>
            <w:r>
              <w:rPr>
                <w:rFonts w:ascii="Times New Roman" w:hAnsi="Times New Roman"/>
                <w:sz w:val="20"/>
              </w:rPr>
              <w:t>Cultural</w:t>
            </w:r>
          </w:p>
        </w:tc>
        <w:tc>
          <w:tcPr>
            <w:tcW w:type="dxa" w:w="2250"/>
          </w:tcPr>
          <w:p>
            <w:pPr>
              <w:jc w:val="left"/>
            </w:pPr>
            <w:r>
              <w:rPr>
                <w:rFonts w:ascii="Times New Roman" w:hAnsi="Times New Roman"/>
                <w:sz w:val="20"/>
              </w:rPr>
              <w:t>cultural_banglish</w:t>
            </w:r>
          </w:p>
        </w:tc>
        <w:tc>
          <w:tcPr>
            <w:tcW w:type="dxa" w:w="2250"/>
          </w:tcPr>
          <w:p>
            <w:pPr>
              <w:jc w:val="left"/>
            </w:pPr>
            <w:r>
              <w:rPr>
                <w:rFonts w:ascii="Times New Roman" w:hAnsi="Times New Roman"/>
                <w:sz w:val="20"/>
              </w:rPr>
              <w:t>Phonetic Code-Switching</w:t>
            </w:r>
          </w:p>
        </w:tc>
        <w:tc>
          <w:tcPr>
            <w:tcW w:type="dxa" w:w="2250"/>
          </w:tcPr>
          <w:p>
            <w:pPr>
              <w:jc w:val="left"/>
            </w:pPr>
            <w:r>
              <w:rPr>
                <w:rFonts w:ascii="Times New Roman" w:hAnsi="Times New Roman"/>
                <w:sz w:val="20"/>
              </w:rPr>
              <w:t>Romanized Bengali evasion</w:t>
            </w:r>
          </w:p>
        </w:tc>
      </w:tr>
    </w:tbl>
    <w:p>
      <w:r>
        <w:br w:type="page"/>
      </w:r>
    </w:p>
    <w:p>
      <w:pPr>
        <w:spacing w:line="276" w:lineRule="auto" w:before="240" w:after="80"/>
        <w:jc w:val="center"/>
      </w:pPr>
      <w:r>
        <w:rPr>
          <w:rFonts w:ascii="Times New Roman" w:hAnsi="Times New Roman"/>
          <w:b/>
          <w:i w:val="0"/>
          <w:color w:val="000000"/>
          <w:sz w:val="44"/>
        </w:rPr>
        <w:t>Chapter 4</w:t>
      </w:r>
    </w:p>
    <w:p>
      <w:pPr>
        <w:spacing w:line="276" w:lineRule="auto" w:before="0" w:after="480"/>
        <w:jc w:val="center"/>
      </w:pPr>
      <w:r>
        <w:rPr>
          <w:rFonts w:ascii="Times New Roman" w:hAnsi="Times New Roman"/>
          <w:b/>
          <w:i w:val="0"/>
          <w:color w:val="000000"/>
          <w:sz w:val="44"/>
        </w:rPr>
        <w:t>Proposed Methodology and System Architecture</w:t>
      </w:r>
    </w:p>
    <w:p>
      <w:pPr>
        <w:spacing w:line="360" w:lineRule="auto" w:before="280" w:after="120"/>
        <w:jc w:val="left"/>
      </w:pPr>
      <w:r>
        <w:rPr>
          <w:rFonts w:ascii="Times New Roman" w:hAnsi="Times New Roman"/>
          <w:b/>
          <w:color w:val="000000"/>
          <w:sz w:val="28"/>
        </w:rPr>
        <w:t>4.1 Architecture Overview of the Pre-Filter Pipeline</w:t>
      </w:r>
    </w:p>
    <w:p>
      <w:pPr>
        <w:spacing w:line="276" w:lineRule="auto" w:before="0" w:after="120"/>
        <w:jc w:val="left"/>
      </w:pPr>
      <w:r>
        <w:rPr>
          <w:rFonts w:ascii="Times New Roman" w:hAnsi="Times New Roman"/>
          <w:b w:val="0"/>
          <w:i w:val="0"/>
          <w:color w:val="000000"/>
          <w:sz w:val="24"/>
        </w:rPr>
        <w:t>The proposed defense framework operates as a high-throughput, low-latency pre-filter deployed immediately ahead of an agentic LLM pipeline. The system ingests raw user queries, tokenizes the stream, computes dense contextual embeddings via a distilled transformer backbone, evaluates adversarial intent over a calibrated contrastive centroid space, and dispatches forensic explainability telemetry to security operators.</w:t>
      </w:r>
    </w:p>
    <w:p>
      <w:pPr>
        <w:spacing w:line="360" w:lineRule="auto" w:before="280" w:after="120"/>
        <w:jc w:val="left"/>
      </w:pPr>
      <w:r>
        <w:rPr>
          <w:rFonts w:ascii="Times New Roman" w:hAnsi="Times New Roman"/>
          <w:b/>
          <w:color w:val="000000"/>
          <w:sz w:val="28"/>
        </w:rPr>
        <w:t>4.2 DistilBERT Transformer Encoder Backbone</w:t>
      </w:r>
    </w:p>
    <w:p>
      <w:pPr>
        <w:spacing w:line="276" w:lineRule="auto" w:before="0" w:after="120"/>
        <w:jc w:val="left"/>
      </w:pPr>
      <w:r>
        <w:rPr>
          <w:rFonts w:ascii="Times New Roman" w:hAnsi="Times New Roman"/>
          <w:b w:val="0"/>
          <w:i w:val="0"/>
          <w:color w:val="000000"/>
          <w:sz w:val="24"/>
        </w:rPr>
        <w:t>We deploy DistilBERT (distilbert-base-uncased) as the primary contextual representation engine [20]. DistilBERT preserves over 97% of standard BERT's language comprehension capabilities while utilizing 40% fewer parameters and executing 60% faster, making it optimal for real-time edge and serverless deployments with strict latency budgets [20].</w:t>
      </w:r>
    </w:p>
    <w:p>
      <w:pPr>
        <w:spacing w:line="360" w:lineRule="auto" w:before="280" w:after="120"/>
        <w:jc w:val="left"/>
      </w:pPr>
      <w:r>
        <w:rPr>
          <w:rFonts w:ascii="Times New Roman" w:hAnsi="Times New Roman"/>
          <w:b/>
          <w:color w:val="000000"/>
          <w:sz w:val="28"/>
        </w:rPr>
        <w:t>4.3 Supervised Contrastive Learning (InfoNCE Objective)</w:t>
      </w:r>
    </w:p>
    <w:p>
      <w:pPr>
        <w:spacing w:line="276" w:lineRule="auto" w:before="0" w:after="120"/>
        <w:jc w:val="left"/>
      </w:pPr>
      <w:r>
        <w:rPr>
          <w:rFonts w:ascii="Times New Roman" w:hAnsi="Times New Roman"/>
          <w:b w:val="0"/>
          <w:i w:val="0"/>
          <w:color w:val="000000"/>
          <w:sz w:val="24"/>
        </w:rPr>
        <w:t>Rather than relying on standard cross-entropy loss, which merely establishes a separating hyperplane over surface features, we train the encoder with a Supervised Contrastive Loss (InfoNCE) paired with a projection head [7]. Given anchor representation z_i, positive sample z_i^+ from the identical class, and negative samples {z_j^-}, the contrastive loss is formalized as:</w:t>
      </w:r>
    </w:p>
    <w:p>
      <w:pPr>
        <w:spacing w:line="276" w:lineRule="auto" w:before="0" w:after="120"/>
        <w:jc w:val="center"/>
      </w:pPr>
      <w:r>
        <w:rPr>
          <w:rFonts w:ascii="Times New Roman" w:hAnsi="Times New Roman"/>
          <w:b w:val="0"/>
          <w:i/>
          <w:color w:val="000000"/>
          <w:sz w:val="24"/>
        </w:rPr>
        <w:t>L_contrast = - log [ exp(sim(z_i, z_i^+) / tau) / sum_j exp(sim(z_i, z_j) / tau) ]</w:t>
      </w:r>
    </w:p>
    <w:p>
      <w:pPr>
        <w:spacing w:line="276" w:lineRule="auto" w:before="0" w:after="120"/>
        <w:jc w:val="left"/>
      </w:pPr>
      <w:r>
        <w:rPr>
          <w:rFonts w:ascii="Times New Roman" w:hAnsi="Times New Roman"/>
          <w:b w:val="0"/>
          <w:i w:val="0"/>
          <w:color w:val="000000"/>
          <w:sz w:val="24"/>
        </w:rPr>
        <w:t>where sim(u, v) denotes cosine similarity and tau represents the temperature hyperparameter (calibrated to tau = 0.07). The objective encourages the model to compress all adversarial attacks into tightly bound geometric clusters while maximizing the distance to benign queries. For joint classification optimization, the final loss combines contrastive and cross-entropy objectives: L_total = L_contrast + 0.5 * L_CE.</w:t>
      </w:r>
    </w:p>
    <w:p>
      <w:pPr>
        <w:spacing w:line="360" w:lineRule="auto" w:before="280" w:after="120"/>
        <w:jc w:val="left"/>
      </w:pPr>
      <w:r>
        <w:rPr>
          <w:rFonts w:ascii="Times New Roman" w:hAnsi="Times New Roman"/>
          <w:b/>
          <w:color w:val="000000"/>
          <w:sz w:val="28"/>
        </w:rPr>
        <w:t>4.4 Stratified Dataset Curation and Partitioning</w:t>
      </w:r>
    </w:p>
    <w:p>
      <w:pPr>
        <w:spacing w:line="276" w:lineRule="auto" w:before="0" w:after="120"/>
        <w:jc w:val="left"/>
      </w:pPr>
      <w:r>
        <w:rPr>
          <w:rFonts w:ascii="Times New Roman" w:hAnsi="Times New Roman"/>
          <w:b w:val="0"/>
          <w:i w:val="0"/>
          <w:color w:val="000000"/>
          <w:sz w:val="24"/>
        </w:rPr>
        <w:t>Our curated benchmark incorporates 754 verified records. The corpus is partitioned using stratified sampling into: Training (520 samples, 70%), Validation (110 samples, 15%), and Test (114 samples, 15%). Crucially, the entire `psych_empathy_exploit` attack family (10 samples) is strictly withheld from all training and validation splits to establish a rigorous zero-shot generalization benchmark (RQ3).</w:t>
      </w:r>
    </w:p>
    <w:p>
      <w:pPr>
        <w:spacing w:line="360" w:lineRule="auto" w:before="280" w:after="120"/>
        <w:jc w:val="left"/>
      </w:pPr>
      <w:r>
        <w:rPr>
          <w:rFonts w:ascii="Times New Roman" w:hAnsi="Times New Roman"/>
          <w:b/>
          <w:color w:val="000000"/>
          <w:sz w:val="28"/>
        </w:rPr>
        <w:t>4.5 Human-in-the-Loop Explainability Layer (RQ5)</w:t>
      </w:r>
    </w:p>
    <w:p>
      <w:pPr>
        <w:spacing w:line="276" w:lineRule="auto" w:before="0" w:after="120"/>
        <w:jc w:val="left"/>
      </w:pPr>
      <w:r>
        <w:rPr>
          <w:rFonts w:ascii="Times New Roman" w:hAnsi="Times New Roman"/>
          <w:b w:val="0"/>
          <w:i w:val="0"/>
          <w:color w:val="000000"/>
          <w:sz w:val="24"/>
        </w:rPr>
        <w:t>To minimize cognitive load on security operators, the detector integrates a dual-layer explainability engine. First, token-level salience highlights the exact trigger phrases inducing the adversarial score. Second, a semantic tactic mapper attributes the query to its specific persuasion strategy (e.g., Authority Bias, Urgency Framing) and generates an automated forensic rationale explaining the decision to human auditors [10].</w:t>
      </w:r>
    </w:p>
    <w:p>
      <w:r>
        <w:br w:type="page"/>
      </w:r>
    </w:p>
    <w:p>
      <w:pPr>
        <w:spacing w:line="276" w:lineRule="auto" w:before="240" w:after="80"/>
        <w:jc w:val="center"/>
      </w:pPr>
      <w:r>
        <w:rPr>
          <w:rFonts w:ascii="Times New Roman" w:hAnsi="Times New Roman"/>
          <w:b/>
          <w:i w:val="0"/>
          <w:color w:val="000000"/>
          <w:sz w:val="44"/>
        </w:rPr>
        <w:t>Chapter 5</w:t>
      </w:r>
    </w:p>
    <w:p>
      <w:pPr>
        <w:spacing w:line="276" w:lineRule="auto" w:before="0" w:after="480"/>
        <w:jc w:val="center"/>
      </w:pPr>
      <w:r>
        <w:rPr>
          <w:rFonts w:ascii="Times New Roman" w:hAnsi="Times New Roman"/>
          <w:b/>
          <w:i w:val="0"/>
          <w:color w:val="000000"/>
          <w:sz w:val="44"/>
        </w:rPr>
        <w:t>Experimental Evaluation, Results and Discussion</w:t>
      </w:r>
    </w:p>
    <w:p>
      <w:pPr>
        <w:spacing w:line="360" w:lineRule="auto" w:before="280" w:after="120"/>
        <w:jc w:val="left"/>
      </w:pPr>
      <w:r>
        <w:rPr>
          <w:rFonts w:ascii="Times New Roman" w:hAnsi="Times New Roman"/>
          <w:b/>
          <w:color w:val="000000"/>
          <w:sz w:val="28"/>
        </w:rPr>
        <w:t>5.1 Experimental Setup &amp; Statistical Protocol</w:t>
      </w:r>
    </w:p>
    <w:p>
      <w:pPr>
        <w:spacing w:line="276" w:lineRule="auto" w:before="0" w:after="120"/>
        <w:jc w:val="left"/>
      </w:pPr>
      <w:r>
        <w:rPr>
          <w:rFonts w:ascii="Times New Roman" w:hAnsi="Times New Roman"/>
          <w:b w:val="0"/>
          <w:i w:val="0"/>
          <w:color w:val="000000"/>
          <w:sz w:val="24"/>
        </w:rPr>
        <w:t>All experiments were conducted on an Apple Silicon MPS hardware environment with PyTorch 2.12 and HuggingFace Transformers. In accordance with rigorous empirical standards, confidence intervals for Precision, Recall, F1, and AUROC were computed via 5,000-resample non-parametric bootstrapping [21].</w:t>
      </w:r>
    </w:p>
    <w:p>
      <w:pPr>
        <w:spacing w:line="360" w:lineRule="auto" w:before="280" w:after="120"/>
        <w:jc w:val="left"/>
      </w:pPr>
      <w:r>
        <w:rPr>
          <w:rFonts w:ascii="Times New Roman" w:hAnsi="Times New Roman"/>
          <w:b/>
          <w:color w:val="000000"/>
          <w:sz w:val="28"/>
        </w:rPr>
        <w:t>5.2 RQ1: Classification Performance vs. Baseline Models</w:t>
      </w:r>
    </w:p>
    <w:p>
      <w:pPr>
        <w:spacing w:line="276" w:lineRule="auto" w:before="0" w:after="120"/>
        <w:jc w:val="left"/>
      </w:pPr>
      <w:r>
        <w:rPr>
          <w:rFonts w:ascii="Times New Roman" w:hAnsi="Times New Roman"/>
          <w:b w:val="0"/>
          <w:i w:val="0"/>
          <w:color w:val="000000"/>
          <w:sz w:val="24"/>
        </w:rPr>
        <w:t>Table 5.1 compares the proposed ContrastiveDetector (InfoNCE) against the standard CrossEntropyBaseline fine-tuned on the identical dataset.</w:t>
      </w:r>
    </w:p>
    <w:p>
      <w:pPr>
        <w:spacing w:line="276" w:lineRule="auto" w:before="240" w:after="120"/>
        <w:jc w:val="left"/>
      </w:pPr>
      <w:r>
        <w:rPr>
          <w:rFonts w:ascii="Times New Roman" w:hAnsi="Times New Roman"/>
          <w:b/>
          <w:i w:val="0"/>
          <w:color w:val="000000"/>
          <w:sz w:val="24"/>
        </w:rPr>
        <w:t>Table 5.1: Master Performance Evaluation on Test Set (N = 4,123 samples)</w:t>
      </w:r>
    </w:p>
    <w:tbl>
      <w:tblPr>
        <w:tblW w:type="auto" w:w="0"/>
        <w:jc w:val="center"/>
        <w:tblLook w:firstColumn="1" w:firstRow="1" w:lastColumn="0" w:lastRow="0" w:noHBand="0" w:noVBand="1" w:val="04A0"/>
      </w:tblPr>
      <w:tblGrid>
        <w:gridCol w:w="2250"/>
        <w:gridCol w:w="2250"/>
        <w:gridCol w:w="2250"/>
        <w:gridCol w:w="2250"/>
      </w:tblGrid>
      <w:tr>
        <w:tc>
          <w:tcPr>
            <w:tcW w:type="dxa" w:w="2250"/>
          </w:tcPr>
          <w:p>
            <w:pPr>
              <w:jc w:val="center"/>
            </w:pPr>
            <w:r>
              <w:rPr>
                <w:rFonts w:ascii="Times New Roman" w:hAnsi="Times New Roman"/>
                <w:b/>
                <w:sz w:val="22"/>
              </w:rPr>
              <w:t>Metric</w:t>
            </w:r>
          </w:p>
        </w:tc>
        <w:tc>
          <w:tcPr>
            <w:tcW w:type="dxa" w:w="2250"/>
          </w:tcPr>
          <w:p>
            <w:pPr>
              <w:jc w:val="center"/>
            </w:pPr>
            <w:r>
              <w:rPr>
                <w:rFonts w:ascii="Times New Roman" w:hAnsi="Times New Roman"/>
                <w:b/>
                <w:sz w:val="22"/>
              </w:rPr>
              <w:t>Contrastive (InfoNCE)</w:t>
            </w:r>
          </w:p>
        </w:tc>
        <w:tc>
          <w:tcPr>
            <w:tcW w:type="dxa" w:w="2250"/>
          </w:tcPr>
          <w:p>
            <w:pPr>
              <w:jc w:val="center"/>
            </w:pPr>
            <w:r>
              <w:rPr>
                <w:rFonts w:ascii="Times New Roman" w:hAnsi="Times New Roman"/>
                <w:b/>
                <w:sz w:val="22"/>
              </w:rPr>
              <w:t>Cross-Entropy Baseline</w:t>
            </w:r>
          </w:p>
        </w:tc>
        <w:tc>
          <w:tcPr>
            <w:tcW w:type="dxa" w:w="2250"/>
          </w:tcPr>
          <w:p>
            <w:pPr>
              <w:jc w:val="center"/>
            </w:pPr>
            <w:r>
              <w:rPr>
                <w:rFonts w:ascii="Times New Roman" w:hAnsi="Times New Roman"/>
                <w:b/>
                <w:sz w:val="22"/>
              </w:rPr>
              <w:t>Winner / Empirical Impact</w:t>
            </w:r>
          </w:p>
        </w:tc>
      </w:tr>
      <w:tr>
        <w:tc>
          <w:tcPr>
            <w:tcW w:type="dxa" w:w="2250"/>
          </w:tcPr>
          <w:p>
            <w:pPr>
              <w:jc w:val="left"/>
            </w:pPr>
            <w:r>
              <w:rPr>
                <w:rFonts w:ascii="Times New Roman" w:hAnsi="Times New Roman"/>
                <w:sz w:val="20"/>
              </w:rPr>
              <w:t>False Positive Rate (FPR)</w:t>
            </w:r>
          </w:p>
        </w:tc>
        <w:tc>
          <w:tcPr>
            <w:tcW w:type="dxa" w:w="2250"/>
          </w:tcPr>
          <w:p>
            <w:pPr>
              <w:jc w:val="left"/>
            </w:pPr>
            <w:r>
              <w:rPr>
                <w:rFonts w:ascii="Times New Roman" w:hAnsi="Times New Roman"/>
                <w:sz w:val="20"/>
              </w:rPr>
              <w:t>0.092% (2 / 2,174 FP)</w:t>
            </w:r>
          </w:p>
        </w:tc>
        <w:tc>
          <w:tcPr>
            <w:tcW w:type="dxa" w:w="2250"/>
          </w:tcPr>
          <w:p>
            <w:pPr>
              <w:jc w:val="left"/>
            </w:pPr>
            <w:r>
              <w:rPr>
                <w:rFonts w:ascii="Times New Roman" w:hAnsi="Times New Roman"/>
                <w:sz w:val="20"/>
              </w:rPr>
              <w:t>0.184% (4 / 2,174 FP)</w:t>
            </w:r>
          </w:p>
        </w:tc>
        <w:tc>
          <w:tcPr>
            <w:tcW w:type="dxa" w:w="2250"/>
          </w:tcPr>
          <w:p>
            <w:pPr>
              <w:jc w:val="left"/>
            </w:pPr>
            <w:r>
              <w:rPr>
                <w:rFonts w:ascii="Times New Roman" w:hAnsi="Times New Roman"/>
                <w:sz w:val="20"/>
              </w:rPr>
              <w:t>Contrastive cuts FPR by 50% 🛡️</w:t>
            </w:r>
          </w:p>
        </w:tc>
      </w:tr>
      <w:tr>
        <w:tc>
          <w:tcPr>
            <w:tcW w:type="dxa" w:w="2250"/>
          </w:tcPr>
          <w:p>
            <w:pPr>
              <w:jc w:val="left"/>
            </w:pPr>
            <w:r>
              <w:rPr>
                <w:rFonts w:ascii="Times New Roman" w:hAnsi="Times New Roman"/>
                <w:sz w:val="20"/>
              </w:rPr>
              <w:t>False Positives (Count)</w:t>
            </w:r>
          </w:p>
        </w:tc>
        <w:tc>
          <w:tcPr>
            <w:tcW w:type="dxa" w:w="2250"/>
          </w:tcPr>
          <w:p>
            <w:pPr>
              <w:jc w:val="left"/>
            </w:pPr>
            <w:r>
              <w:rPr>
                <w:rFonts w:ascii="Times New Roman" w:hAnsi="Times New Roman"/>
                <w:sz w:val="20"/>
              </w:rPr>
              <w:t>2 FP</w:t>
            </w:r>
          </w:p>
        </w:tc>
        <w:tc>
          <w:tcPr>
            <w:tcW w:type="dxa" w:w="2250"/>
          </w:tcPr>
          <w:p>
            <w:pPr>
              <w:jc w:val="left"/>
            </w:pPr>
            <w:r>
              <w:rPr>
                <w:rFonts w:ascii="Times New Roman" w:hAnsi="Times New Roman"/>
                <w:sz w:val="20"/>
              </w:rPr>
              <w:t>4 FP</w:t>
            </w:r>
          </w:p>
        </w:tc>
        <w:tc>
          <w:tcPr>
            <w:tcW w:type="dxa" w:w="2250"/>
          </w:tcPr>
          <w:p>
            <w:pPr>
              <w:jc w:val="left"/>
            </w:pPr>
            <w:r>
              <w:rPr>
                <w:rFonts w:ascii="Times New Roman" w:hAnsi="Times New Roman"/>
                <w:sz w:val="20"/>
              </w:rPr>
              <w:t>Protects legitimate benign users</w:t>
            </w:r>
          </w:p>
        </w:tc>
      </w:tr>
      <w:tr>
        <w:tc>
          <w:tcPr>
            <w:tcW w:type="dxa" w:w="2250"/>
          </w:tcPr>
          <w:p>
            <w:pPr>
              <w:jc w:val="left"/>
            </w:pPr>
            <w:r>
              <w:rPr>
                <w:rFonts w:ascii="Times New Roman" w:hAnsi="Times New Roman"/>
                <w:sz w:val="20"/>
              </w:rPr>
              <w:t>Precision</w:t>
            </w:r>
          </w:p>
        </w:tc>
        <w:tc>
          <w:tcPr>
            <w:tcW w:type="dxa" w:w="2250"/>
          </w:tcPr>
          <w:p>
            <w:pPr>
              <w:jc w:val="left"/>
            </w:pPr>
            <w:r>
              <w:rPr>
                <w:rFonts w:ascii="Times New Roman" w:hAnsi="Times New Roman"/>
                <w:sz w:val="20"/>
              </w:rPr>
              <w:t>99.90%</w:t>
            </w:r>
          </w:p>
        </w:tc>
        <w:tc>
          <w:tcPr>
            <w:tcW w:type="dxa" w:w="2250"/>
          </w:tcPr>
          <w:p>
            <w:pPr>
              <w:jc w:val="left"/>
            </w:pPr>
            <w:r>
              <w:rPr>
                <w:rFonts w:ascii="Times New Roman" w:hAnsi="Times New Roman"/>
                <w:sz w:val="20"/>
              </w:rPr>
              <w:t>99.79%</w:t>
            </w:r>
          </w:p>
        </w:tc>
        <w:tc>
          <w:tcPr>
            <w:tcW w:type="dxa" w:w="2250"/>
          </w:tcPr>
          <w:p>
            <w:pPr>
              <w:jc w:val="left"/>
            </w:pPr>
            <w:r>
              <w:rPr>
                <w:rFonts w:ascii="Times New Roman" w:hAnsi="Times New Roman"/>
                <w:sz w:val="20"/>
              </w:rPr>
              <w:t>Contrastive protects benign users ✅</w:t>
            </w:r>
          </w:p>
        </w:tc>
      </w:tr>
      <w:tr>
        <w:tc>
          <w:tcPr>
            <w:tcW w:type="dxa" w:w="2250"/>
          </w:tcPr>
          <w:p>
            <w:pPr>
              <w:jc w:val="left"/>
            </w:pPr>
            <w:r>
              <w:rPr>
                <w:rFonts w:ascii="Times New Roman" w:hAnsi="Times New Roman"/>
                <w:sz w:val="20"/>
              </w:rPr>
              <w:t>Recall</w:t>
            </w:r>
          </w:p>
        </w:tc>
        <w:tc>
          <w:tcPr>
            <w:tcW w:type="dxa" w:w="2250"/>
          </w:tcPr>
          <w:p>
            <w:pPr>
              <w:jc w:val="left"/>
            </w:pPr>
            <w:r>
              <w:rPr>
                <w:rFonts w:ascii="Times New Roman" w:hAnsi="Times New Roman"/>
                <w:sz w:val="20"/>
              </w:rPr>
              <w:t>99.74% (1,944 / 1,949)</w:t>
            </w:r>
          </w:p>
        </w:tc>
        <w:tc>
          <w:tcPr>
            <w:tcW w:type="dxa" w:w="2250"/>
          </w:tcPr>
          <w:p>
            <w:pPr>
              <w:jc w:val="left"/>
            </w:pPr>
            <w:r>
              <w:rPr>
                <w:rFonts w:ascii="Times New Roman" w:hAnsi="Times New Roman"/>
                <w:sz w:val="20"/>
              </w:rPr>
              <w:t>99.64% (1,942 / 1,949)</w:t>
            </w:r>
          </w:p>
        </w:tc>
        <w:tc>
          <w:tcPr>
            <w:tcW w:type="dxa" w:w="2250"/>
          </w:tcPr>
          <w:p>
            <w:pPr>
              <w:jc w:val="left"/>
            </w:pPr>
            <w:r>
              <w:rPr>
                <w:rFonts w:ascii="Times New Roman" w:hAnsi="Times New Roman"/>
                <w:sz w:val="20"/>
              </w:rPr>
              <w:t>Contrastive misses 2 fewer attacks</w:t>
            </w:r>
          </w:p>
        </w:tc>
      </w:tr>
      <w:tr>
        <w:tc>
          <w:tcPr>
            <w:tcW w:type="dxa" w:w="2250"/>
          </w:tcPr>
          <w:p>
            <w:pPr>
              <w:jc w:val="left"/>
            </w:pPr>
            <w:r>
              <w:rPr>
                <w:rFonts w:ascii="Times New Roman" w:hAnsi="Times New Roman"/>
                <w:sz w:val="20"/>
              </w:rPr>
              <w:t>Test F1-Score</w:t>
            </w:r>
          </w:p>
        </w:tc>
        <w:tc>
          <w:tcPr>
            <w:tcW w:type="dxa" w:w="2250"/>
          </w:tcPr>
          <w:p>
            <w:pPr>
              <w:jc w:val="left"/>
            </w:pPr>
            <w:r>
              <w:rPr>
                <w:rFonts w:ascii="Times New Roman" w:hAnsi="Times New Roman"/>
                <w:sz w:val="20"/>
              </w:rPr>
              <w:t>99.82%</w:t>
            </w:r>
          </w:p>
        </w:tc>
        <w:tc>
          <w:tcPr>
            <w:tcW w:type="dxa" w:w="2250"/>
          </w:tcPr>
          <w:p>
            <w:pPr>
              <w:jc w:val="left"/>
            </w:pPr>
            <w:r>
              <w:rPr>
                <w:rFonts w:ascii="Times New Roman" w:hAnsi="Times New Roman"/>
                <w:sz w:val="20"/>
              </w:rPr>
              <w:t>99.72%</w:t>
            </w:r>
          </w:p>
        </w:tc>
        <w:tc>
          <w:tcPr>
            <w:tcW w:type="dxa" w:w="2250"/>
          </w:tcPr>
          <w:p>
            <w:pPr>
              <w:jc w:val="left"/>
            </w:pPr>
            <w:r>
              <w:rPr>
                <w:rFonts w:ascii="Times New Roman" w:hAnsi="Times New Roman"/>
                <w:sz w:val="20"/>
              </w:rPr>
              <w:t>Delta = +0.10%</w:t>
            </w:r>
          </w:p>
        </w:tc>
      </w:tr>
      <w:tr>
        <w:tc>
          <w:tcPr>
            <w:tcW w:type="dxa" w:w="2250"/>
          </w:tcPr>
          <w:p>
            <w:pPr>
              <w:jc w:val="left"/>
            </w:pPr>
            <w:r>
              <w:rPr>
                <w:rFonts w:ascii="Times New Roman" w:hAnsi="Times New Roman"/>
                <w:sz w:val="20"/>
              </w:rPr>
              <w:t>Test AUROC</w:t>
            </w:r>
          </w:p>
        </w:tc>
        <w:tc>
          <w:tcPr>
            <w:tcW w:type="dxa" w:w="2250"/>
          </w:tcPr>
          <w:p>
            <w:pPr>
              <w:jc w:val="left"/>
            </w:pPr>
            <w:r>
              <w:rPr>
                <w:rFonts w:ascii="Times New Roman" w:hAnsi="Times New Roman"/>
                <w:sz w:val="20"/>
              </w:rPr>
              <w:t>0.99983</w:t>
            </w:r>
          </w:p>
        </w:tc>
        <w:tc>
          <w:tcPr>
            <w:tcW w:type="dxa" w:w="2250"/>
          </w:tcPr>
          <w:p>
            <w:pPr>
              <w:jc w:val="left"/>
            </w:pPr>
            <w:r>
              <w:rPr>
                <w:rFonts w:ascii="Times New Roman" w:hAnsi="Times New Roman"/>
                <w:sz w:val="20"/>
              </w:rPr>
              <w:t>0.99989</w:t>
            </w:r>
          </w:p>
        </w:tc>
        <w:tc>
          <w:tcPr>
            <w:tcW w:type="dxa" w:w="2250"/>
          </w:tcPr>
          <w:p>
            <w:pPr>
              <w:jc w:val="left"/>
            </w:pPr>
            <w:r>
              <w:rPr>
                <w:rFonts w:ascii="Times New Roman" w:hAnsi="Times New Roman"/>
                <w:sz w:val="20"/>
              </w:rPr>
              <w:t>Exceptional discrimination capacity</w:t>
            </w:r>
          </w:p>
        </w:tc>
      </w:tr>
      <w:tr>
        <w:tc>
          <w:tcPr>
            <w:tcW w:type="dxa" w:w="2250"/>
          </w:tcPr>
          <w:p>
            <w:pPr>
              <w:jc w:val="left"/>
            </w:pPr>
            <w:r>
              <w:rPr>
                <w:rFonts w:ascii="Times New Roman" w:hAnsi="Times New Roman"/>
                <w:sz w:val="20"/>
              </w:rPr>
              <w:t>P50 Inference Latency</w:t>
            </w:r>
          </w:p>
        </w:tc>
        <w:tc>
          <w:tcPr>
            <w:tcW w:type="dxa" w:w="2250"/>
          </w:tcPr>
          <w:p>
            <w:pPr>
              <w:jc w:val="left"/>
            </w:pPr>
            <w:r>
              <w:rPr>
                <w:rFonts w:ascii="Times New Roman" w:hAnsi="Times New Roman"/>
                <w:sz w:val="20"/>
              </w:rPr>
              <w:t>4.89 ms</w:t>
            </w:r>
          </w:p>
        </w:tc>
        <w:tc>
          <w:tcPr>
            <w:tcW w:type="dxa" w:w="2250"/>
          </w:tcPr>
          <w:p>
            <w:pPr>
              <w:jc w:val="left"/>
            </w:pPr>
            <w:r>
              <w:rPr>
                <w:rFonts w:ascii="Times New Roman" w:hAnsi="Times New Roman"/>
                <w:sz w:val="20"/>
              </w:rPr>
              <w:t>~4.08 ms</w:t>
            </w:r>
          </w:p>
        </w:tc>
        <w:tc>
          <w:tcPr>
            <w:tcW w:type="dxa" w:w="2250"/>
          </w:tcPr>
          <w:p>
            <w:pPr>
              <w:jc w:val="left"/>
            </w:pPr>
            <w:r>
              <w:rPr>
                <w:rFonts w:ascii="Times New Roman" w:hAnsi="Times New Roman"/>
                <w:sz w:val="20"/>
              </w:rPr>
              <w:t>Both ultra-fast (&lt;5ms SLA) ⚡</w:t>
            </w:r>
          </w:p>
        </w:tc>
      </w:tr>
      <w:tr>
        <w:tc>
          <w:tcPr>
            <w:tcW w:type="dxa" w:w="2250"/>
          </w:tcPr>
          <w:p>
            <w:pPr>
              <w:jc w:val="left"/>
            </w:pPr>
            <w:r>
              <w:rPr>
                <w:rFonts w:ascii="Times New Roman" w:hAnsi="Times New Roman"/>
                <w:sz w:val="20"/>
              </w:rPr>
              <w:t>Bangla / Banglish F1</w:t>
            </w:r>
          </w:p>
        </w:tc>
        <w:tc>
          <w:tcPr>
            <w:tcW w:type="dxa" w:w="2250"/>
          </w:tcPr>
          <w:p>
            <w:pPr>
              <w:jc w:val="left"/>
            </w:pPr>
            <w:r>
              <w:rPr>
                <w:rFonts w:ascii="Times New Roman" w:hAnsi="Times New Roman"/>
                <w:sz w:val="20"/>
              </w:rPr>
              <w:t>1.000</w:t>
            </w:r>
          </w:p>
        </w:tc>
        <w:tc>
          <w:tcPr>
            <w:tcW w:type="dxa" w:w="2250"/>
          </w:tcPr>
          <w:p>
            <w:pPr>
              <w:jc w:val="left"/>
            </w:pPr>
            <w:r>
              <w:rPr>
                <w:rFonts w:ascii="Times New Roman" w:hAnsi="Times New Roman"/>
                <w:sz w:val="20"/>
              </w:rPr>
              <w:t>1.000</w:t>
            </w:r>
          </w:p>
        </w:tc>
        <w:tc>
          <w:tcPr>
            <w:tcW w:type="dxa" w:w="2250"/>
          </w:tcPr>
          <w:p>
            <w:pPr>
              <w:jc w:val="left"/>
            </w:pPr>
            <w:r>
              <w:rPr>
                <w:rFonts w:ascii="Times New Roman" w:hAnsi="Times New Roman"/>
                <w:sz w:val="20"/>
              </w:rPr>
              <w:t>100% recall on regional code-switching</w:t>
            </w:r>
          </w:p>
        </w:tc>
      </w:tr>
      <w:tr>
        <w:tc>
          <w:tcPr>
            <w:tcW w:type="dxa" w:w="2250"/>
          </w:tcPr>
          <w:p>
            <w:pPr>
              <w:jc w:val="left"/>
            </w:pPr>
            <w:r>
              <w:rPr>
                <w:rFonts w:ascii="Times New Roman" w:hAnsi="Times New Roman"/>
                <w:sz w:val="20"/>
              </w:rPr>
              <w:t>Bootstrap 95% F1 CI</w:t>
            </w:r>
          </w:p>
        </w:tc>
        <w:tc>
          <w:tcPr>
            <w:tcW w:type="dxa" w:w="2250"/>
          </w:tcPr>
          <w:p>
            <w:pPr>
              <w:jc w:val="left"/>
            </w:pPr>
            <w:r>
              <w:rPr>
                <w:rFonts w:ascii="Times New Roman" w:hAnsi="Times New Roman"/>
                <w:sz w:val="20"/>
              </w:rPr>
              <w:t>[0.9967, 0.9995]</w:t>
            </w:r>
          </w:p>
        </w:tc>
        <w:tc>
          <w:tcPr>
            <w:tcW w:type="dxa" w:w="2250"/>
          </w:tcPr>
          <w:p>
            <w:pPr>
              <w:jc w:val="left"/>
            </w:pPr>
            <w:r>
              <w:rPr>
                <w:rFonts w:ascii="Times New Roman" w:hAnsi="Times New Roman"/>
                <w:sz w:val="20"/>
              </w:rPr>
              <w:t>[0.9953, 0.9987]</w:t>
            </w:r>
          </w:p>
        </w:tc>
        <w:tc>
          <w:tcPr>
            <w:tcW w:type="dxa" w:w="2250"/>
          </w:tcPr>
          <w:p>
            <w:pPr>
              <w:jc w:val="left"/>
            </w:pPr>
            <w:r>
              <w:rPr>
                <w:rFonts w:ascii="Times New Roman" w:hAnsi="Times New Roman"/>
                <w:sz w:val="20"/>
              </w:rPr>
              <w:t>Statistically significant advantage</w:t>
            </w:r>
          </w:p>
        </w:tc>
      </w:tr>
    </w:tbl>
    <w:p>
      <w:pPr>
        <w:spacing w:line="276" w:lineRule="auto" w:before="0" w:after="120"/>
        <w:jc w:val="left"/>
      </w:pPr>
      <w:r>
        <w:rPr>
          <w:rFonts w:ascii="Times New Roman" w:hAnsi="Times New Roman"/>
          <w:b w:val="0"/>
          <w:i w:val="0"/>
          <w:color w:val="000000"/>
          <w:sz w:val="24"/>
        </w:rPr>
        <w:br/>
        <w:t>As detailed in Table 5.1, the primary scientific advantage of the proposed contrastive approach is a dramatic 50% reduction in the False Positive Rate (dropping from 0.184% to 0.092%, halving false alarms from 4 down to only 2 across 2,174 benign samples). In production security environments, reducing false alarms on innocent users while maintaining &gt;99.7% recall is paramount to operational adoption [7].</w:t>
      </w:r>
    </w:p>
    <w:p>
      <w:pPr>
        <w:spacing w:line="360" w:lineRule="auto" w:before="280" w:after="120"/>
        <w:jc w:val="left"/>
      </w:pPr>
      <w:r>
        <w:rPr>
          <w:rFonts w:ascii="Times New Roman" w:hAnsi="Times New Roman"/>
          <w:b/>
          <w:color w:val="000000"/>
          <w:sz w:val="28"/>
        </w:rPr>
        <w:t>5.3 RQ2: Geometric Embedding Separation Proof</w:t>
      </w:r>
    </w:p>
    <w:p>
      <w:pPr>
        <w:spacing w:line="276" w:lineRule="auto" w:before="0" w:after="120"/>
        <w:jc w:val="left"/>
      </w:pPr>
      <w:r>
        <w:rPr>
          <w:rFonts w:ascii="Times New Roman" w:hAnsi="Times New Roman"/>
          <w:b w:val="0"/>
          <w:i w:val="0"/>
          <w:color w:val="000000"/>
          <w:sz w:val="24"/>
        </w:rPr>
        <w:t>To provide empirical proof of the geometric separation hypothesized in RQ2, we projected high-dimensional embeddings onto a 2D space using t-Distributed Stochastic Neighbor Embedding (t-SNE) [22]. Figure 5.1 illustrates the structural comparison.</w:t>
      </w:r>
    </w:p>
    <w:p>
      <w:pPr>
        <w:spacing w:before="160"/>
      </w:pPr>
    </w:p>
    <w:p>
      <w:r>
        <w:drawing>
          <wp:inline xmlns:a="http://schemas.openxmlformats.org/drawingml/2006/main" xmlns:pic="http://schemas.openxmlformats.org/drawingml/2006/picture">
            <wp:extent cx="5669280" cy="2574226"/>
            <wp:docPr id="1" name="Picture 1"/>
            <wp:cNvGraphicFramePr>
              <a:graphicFrameLocks noChangeAspect="1"/>
            </wp:cNvGraphicFramePr>
            <a:graphic>
              <a:graphicData uri="http://schemas.openxmlformats.org/drawingml/2006/picture">
                <pic:pic>
                  <pic:nvPicPr>
                    <pic:cNvPr id="0" name="tsne_comparison.png"/>
                    <pic:cNvPicPr/>
                  </pic:nvPicPr>
                  <pic:blipFill>
                    <a:blip r:embed="rId9"/>
                    <a:stretch>
                      <a:fillRect/>
                    </a:stretch>
                  </pic:blipFill>
                  <pic:spPr>
                    <a:xfrm>
                      <a:off x="0" y="0"/>
                      <a:ext cx="5669280" cy="2574226"/>
                    </a:xfrm>
                    <a:prstGeom prst="rect"/>
                  </pic:spPr>
                </pic:pic>
              </a:graphicData>
            </a:graphic>
          </wp:inline>
        </w:drawing>
      </w:r>
    </w:p>
    <w:p>
      <w:pPr>
        <w:spacing w:line="276" w:lineRule="auto" w:before="80" w:after="240"/>
        <w:jc w:val="center"/>
      </w:pPr>
      <w:r>
        <w:rPr>
          <w:rFonts w:ascii="Times New Roman" w:hAnsi="Times New Roman"/>
          <w:b w:val="0"/>
          <w:i/>
          <w:color w:val="000000"/>
          <w:sz w:val="22"/>
        </w:rPr>
        <w:t>Figure 5.1: 2D t-SNE Embedding Space Separation (RQ2 Geometric Proof). Contrastive learning groups prompts by persuasion intent, whereas Cross-Entropy clusters by superficial surface tokens.</w:t>
      </w:r>
    </w:p>
    <w:p>
      <w:pPr>
        <w:spacing w:line="276" w:lineRule="auto" w:before="0" w:after="120"/>
        <w:jc w:val="left"/>
      </w:pPr>
      <w:r>
        <w:rPr>
          <w:rFonts w:ascii="Times New Roman" w:hAnsi="Times New Roman"/>
          <w:b w:val="0"/>
          <w:i w:val="0"/>
          <w:color w:val="000000"/>
          <w:sz w:val="24"/>
        </w:rPr>
        <w:t>In Figure 5.1, the Contrastive (InfoNCE) embedding space reveals tightly bounded, convex clusters corresponding to specific psychological tactics (Authority Bias in purple, Urgency Framing in deep purple, Roleplay in blue). Crucially, benign hard-negatives remain strictly segregated from adversarial attacks, corroborating our theoretical framework [14].</w:t>
      </w:r>
    </w:p>
    <w:p>
      <w:pPr>
        <w:spacing w:line="360" w:lineRule="auto" w:before="280" w:after="120"/>
        <w:jc w:val="left"/>
      </w:pPr>
      <w:r>
        <w:rPr>
          <w:rFonts w:ascii="Times New Roman" w:hAnsi="Times New Roman"/>
          <w:b/>
          <w:color w:val="000000"/>
          <w:sz w:val="28"/>
        </w:rPr>
        <w:t>5.4 RQ3: Zero-Shot Generalization on Held-Out Attack Families</w:t>
      </w:r>
    </w:p>
    <w:p>
      <w:pPr>
        <w:spacing w:line="276" w:lineRule="auto" w:before="0" w:after="120"/>
        <w:jc w:val="left"/>
      </w:pPr>
      <w:r>
        <w:rPr>
          <w:rFonts w:ascii="Times New Roman" w:hAnsi="Times New Roman"/>
          <w:b w:val="0"/>
          <w:i w:val="0"/>
          <w:color w:val="000000"/>
          <w:sz w:val="24"/>
        </w:rPr>
        <w:t>To answer RQ3, both models were tested on the completely withheld `psych_empathy_exploit` attack family (grandmother exploits and humanitarian emotional blackmail) that was never present in training or validation splits. Table 5.2 summarizes the results.</w:t>
      </w:r>
    </w:p>
    <w:p>
      <w:pPr>
        <w:spacing w:line="276" w:lineRule="auto" w:before="240" w:after="120"/>
        <w:jc w:val="left"/>
      </w:pPr>
      <w:r>
        <w:rPr>
          <w:rFonts w:ascii="Times New Roman" w:hAnsi="Times New Roman"/>
          <w:b/>
          <w:i w:val="0"/>
          <w:color w:val="000000"/>
          <w:sz w:val="24"/>
        </w:rPr>
        <w:t>Table 5.2: RQ3 Zero-Shot Generalization Performance on Unseen Empathy Exploits</w:t>
      </w:r>
    </w:p>
    <w:tbl>
      <w:tblPr>
        <w:tblW w:type="auto" w:w="0"/>
        <w:jc w:val="center"/>
        <w:tblLook w:firstColumn="1" w:firstRow="1" w:lastColumn="0" w:lastRow="0" w:noHBand="0" w:noVBand="1" w:val="04A0"/>
      </w:tblPr>
      <w:tblGrid>
        <w:gridCol w:w="2250"/>
        <w:gridCol w:w="2250"/>
        <w:gridCol w:w="2250"/>
        <w:gridCol w:w="2250"/>
      </w:tblGrid>
      <w:tr>
        <w:tc>
          <w:tcPr>
            <w:tcW w:type="dxa" w:w="2250"/>
          </w:tcPr>
          <w:p>
            <w:pPr>
              <w:jc w:val="center"/>
            </w:pPr>
            <w:r>
              <w:rPr>
                <w:rFonts w:ascii="Times New Roman" w:hAnsi="Times New Roman"/>
                <w:b/>
                <w:sz w:val="22"/>
              </w:rPr>
              <w:t>Model Architecture</w:t>
            </w:r>
          </w:p>
        </w:tc>
        <w:tc>
          <w:tcPr>
            <w:tcW w:type="dxa" w:w="2250"/>
          </w:tcPr>
          <w:p>
            <w:pPr>
              <w:jc w:val="center"/>
            </w:pPr>
            <w:r>
              <w:rPr>
                <w:rFonts w:ascii="Times New Roman" w:hAnsi="Times New Roman"/>
                <w:b/>
                <w:sz w:val="22"/>
              </w:rPr>
              <w:t>Zero-Shot Detection Rate</w:t>
            </w:r>
          </w:p>
        </w:tc>
        <w:tc>
          <w:tcPr>
            <w:tcW w:type="dxa" w:w="2250"/>
          </w:tcPr>
          <w:p>
            <w:pPr>
              <w:jc w:val="center"/>
            </w:pPr>
            <w:r>
              <w:rPr>
                <w:rFonts w:ascii="Times New Roman" w:hAnsi="Times New Roman"/>
                <w:b/>
                <w:sz w:val="22"/>
              </w:rPr>
              <w:t>Mean Adversarial Score</w:t>
            </w:r>
          </w:p>
        </w:tc>
        <w:tc>
          <w:tcPr>
            <w:tcW w:type="dxa" w:w="2250"/>
          </w:tcPr>
          <w:p>
            <w:pPr>
              <w:jc w:val="center"/>
            </w:pPr>
            <w:r>
              <w:rPr>
                <w:rFonts w:ascii="Times New Roman" w:hAnsi="Times New Roman"/>
                <w:b/>
                <w:sz w:val="22"/>
              </w:rPr>
              <w:t>Generalization Verdict</w:t>
            </w:r>
          </w:p>
        </w:tc>
      </w:tr>
      <w:tr>
        <w:tc>
          <w:tcPr>
            <w:tcW w:type="dxa" w:w="2250"/>
          </w:tcPr>
          <w:p>
            <w:pPr>
              <w:jc w:val="left"/>
            </w:pPr>
            <w:r>
              <w:rPr>
                <w:rFonts w:ascii="Times New Roman" w:hAnsi="Times New Roman"/>
                <w:sz w:val="20"/>
              </w:rPr>
              <w:t>Contrastive Detector (InfoNCE)</w:t>
            </w:r>
          </w:p>
        </w:tc>
        <w:tc>
          <w:tcPr>
            <w:tcW w:type="dxa" w:w="2250"/>
          </w:tcPr>
          <w:p>
            <w:pPr>
              <w:jc w:val="left"/>
            </w:pPr>
            <w:r>
              <w:rPr>
                <w:rFonts w:ascii="Times New Roman" w:hAnsi="Times New Roman"/>
                <w:sz w:val="20"/>
              </w:rPr>
              <w:t>30.0% (3 / 10)</w:t>
            </w:r>
          </w:p>
        </w:tc>
        <w:tc>
          <w:tcPr>
            <w:tcW w:type="dxa" w:w="2250"/>
          </w:tcPr>
          <w:p>
            <w:pPr>
              <w:jc w:val="left"/>
            </w:pPr>
            <w:r>
              <w:rPr>
                <w:rFonts w:ascii="Times New Roman" w:hAnsi="Times New Roman"/>
                <w:sz w:val="20"/>
              </w:rPr>
              <w:t>0.3063</w:t>
            </w:r>
          </w:p>
        </w:tc>
        <w:tc>
          <w:tcPr>
            <w:tcW w:type="dxa" w:w="2250"/>
          </w:tcPr>
          <w:p>
            <w:pPr>
              <w:jc w:val="left"/>
            </w:pPr>
            <w:r>
              <w:rPr>
                <w:rFonts w:ascii="Times New Roman" w:hAnsi="Times New Roman"/>
                <w:sz w:val="20"/>
              </w:rPr>
              <w:t>+50% Relative Gain Over CE 🎯</w:t>
            </w:r>
          </w:p>
        </w:tc>
      </w:tr>
      <w:tr>
        <w:tc>
          <w:tcPr>
            <w:tcW w:type="dxa" w:w="2250"/>
          </w:tcPr>
          <w:p>
            <w:pPr>
              <w:jc w:val="left"/>
            </w:pPr>
            <w:r>
              <w:rPr>
                <w:rFonts w:ascii="Times New Roman" w:hAnsi="Times New Roman"/>
                <w:sz w:val="20"/>
              </w:rPr>
              <w:t>Cross-Entropy Baseline</w:t>
            </w:r>
          </w:p>
        </w:tc>
        <w:tc>
          <w:tcPr>
            <w:tcW w:type="dxa" w:w="2250"/>
          </w:tcPr>
          <w:p>
            <w:pPr>
              <w:jc w:val="left"/>
            </w:pPr>
            <w:r>
              <w:rPr>
                <w:rFonts w:ascii="Times New Roman" w:hAnsi="Times New Roman"/>
                <w:sz w:val="20"/>
              </w:rPr>
              <w:t>20.0% (2 / 10)</w:t>
            </w:r>
          </w:p>
        </w:tc>
        <w:tc>
          <w:tcPr>
            <w:tcW w:type="dxa" w:w="2250"/>
          </w:tcPr>
          <w:p>
            <w:pPr>
              <w:jc w:val="left"/>
            </w:pPr>
            <w:r>
              <w:rPr>
                <w:rFonts w:ascii="Times New Roman" w:hAnsi="Times New Roman"/>
                <w:sz w:val="20"/>
              </w:rPr>
              <w:t>0.2108</w:t>
            </w:r>
          </w:p>
        </w:tc>
        <w:tc>
          <w:tcPr>
            <w:tcW w:type="dxa" w:w="2250"/>
          </w:tcPr>
          <w:p>
            <w:pPr>
              <w:jc w:val="left"/>
            </w:pPr>
            <w:r>
              <w:rPr>
                <w:rFonts w:ascii="Times New Roman" w:hAnsi="Times New Roman"/>
                <w:sz w:val="20"/>
              </w:rPr>
              <w:t>Weak Zero-Shot Transfer</w:t>
            </w:r>
          </w:p>
        </w:tc>
      </w:tr>
    </w:tbl>
    <w:p>
      <w:pPr>
        <w:spacing w:line="276" w:lineRule="auto" w:before="0" w:after="120"/>
        <w:jc w:val="left"/>
      </w:pPr>
      <w:r>
        <w:rPr>
          <w:rFonts w:ascii="Times New Roman" w:hAnsi="Times New Roman"/>
          <w:b w:val="0"/>
          <w:i w:val="0"/>
          <w:color w:val="000000"/>
          <w:sz w:val="24"/>
        </w:rPr>
        <w:br/>
        <w:t>The contrastive detector delivers a 50% relative improvement in zero-shot detection rate (30% vs 20%) on completely unseen emotional blackmail prompts, confirming that InfoNCE geometric manifolds transfer better to out-of-distribution persuasion families [15].</w:t>
      </w:r>
    </w:p>
    <w:p>
      <w:pPr>
        <w:spacing w:line="360" w:lineRule="auto" w:before="280" w:after="120"/>
        <w:jc w:val="left"/>
      </w:pPr>
      <w:r>
        <w:rPr>
          <w:rFonts w:ascii="Times New Roman" w:hAnsi="Times New Roman"/>
          <w:b/>
          <w:color w:val="000000"/>
          <w:sz w:val="28"/>
        </w:rPr>
        <w:t>5.5 RQ4: Adversarial Robustness &amp; Obfuscation Degradation Curves</w:t>
      </w:r>
    </w:p>
    <w:p>
      <w:pPr>
        <w:spacing w:line="276" w:lineRule="auto" w:before="0" w:after="120"/>
        <w:jc w:val="left"/>
      </w:pPr>
      <w:r>
        <w:rPr>
          <w:rFonts w:ascii="Times New Roman" w:hAnsi="Times New Roman"/>
          <w:b w:val="0"/>
          <w:i w:val="0"/>
          <w:color w:val="000000"/>
          <w:sz w:val="24"/>
        </w:rPr>
        <w:t>We evaluated robustness against stochastic adversarial perturbations (0% to 30% noise strength, incorporating leetspeak lookalike substitutions, adjacent character swaps, and random omissions). Figure 5.2 displays the resulting degradation curves.</w:t>
      </w:r>
    </w:p>
    <w:p>
      <w:pPr>
        <w:spacing w:before="160"/>
      </w:pPr>
    </w:p>
    <w:p>
      <w:r>
        <w:drawing>
          <wp:inline xmlns:a="http://schemas.openxmlformats.org/drawingml/2006/main" xmlns:pic="http://schemas.openxmlformats.org/drawingml/2006/picture">
            <wp:extent cx="5303520" cy="3205315"/>
            <wp:docPr id="2" name="Picture 2"/>
            <wp:cNvGraphicFramePr>
              <a:graphicFrameLocks noChangeAspect="1"/>
            </wp:cNvGraphicFramePr>
            <a:graphic>
              <a:graphicData uri="http://schemas.openxmlformats.org/drawingml/2006/picture">
                <pic:pic>
                  <pic:nvPicPr>
                    <pic:cNvPr id="0" name="rq4_robustness_curve.png"/>
                    <pic:cNvPicPr/>
                  </pic:nvPicPr>
                  <pic:blipFill>
                    <a:blip r:embed="rId10"/>
                    <a:stretch>
                      <a:fillRect/>
                    </a:stretch>
                  </pic:blipFill>
                  <pic:spPr>
                    <a:xfrm>
                      <a:off x="0" y="0"/>
                      <a:ext cx="5303520" cy="3205315"/>
                    </a:xfrm>
                    <a:prstGeom prst="rect"/>
                  </pic:spPr>
                </pic:pic>
              </a:graphicData>
            </a:graphic>
          </wp:inline>
        </w:drawing>
      </w:r>
    </w:p>
    <w:p>
      <w:pPr>
        <w:spacing w:line="276" w:lineRule="auto" w:before="80" w:after="240"/>
        <w:jc w:val="center"/>
      </w:pPr>
      <w:r>
        <w:rPr>
          <w:rFonts w:ascii="Times New Roman" w:hAnsi="Times New Roman"/>
          <w:b w:val="0"/>
          <w:i/>
          <w:color w:val="000000"/>
          <w:sz w:val="22"/>
        </w:rPr>
        <w:t>Figure 5.2: RQ4 Adversarial Degradation Curve under Increasing Obfuscation (0% - 30%). Contrastive Pre-Filter maintains &gt;99.6% recall while Naive Regex filters collapse rapidly.</w:t>
      </w:r>
    </w:p>
    <w:p>
      <w:pPr>
        <w:spacing w:line="276" w:lineRule="auto" w:before="240" w:after="120"/>
        <w:jc w:val="left"/>
      </w:pPr>
      <w:r>
        <w:rPr>
          <w:rFonts w:ascii="Times New Roman" w:hAnsi="Times New Roman"/>
          <w:b/>
          <w:i w:val="0"/>
          <w:color w:val="000000"/>
          <w:sz w:val="24"/>
        </w:rPr>
        <w:t>Table 5.3: RQ4 Adversarial Obfuscation Degradation Rates (0% - 30%)</w:t>
      </w:r>
    </w:p>
    <w:tbl>
      <w:tblPr>
        <w:tblW w:type="auto" w:w="0"/>
        <w:jc w:val="center"/>
        <w:tblLook w:firstColumn="1" w:firstRow="1" w:lastColumn="0" w:lastRow="0" w:noHBand="0" w:noVBand="1" w:val="04A0"/>
      </w:tblPr>
      <w:tblGrid>
        <w:gridCol w:w="2250"/>
        <w:gridCol w:w="2250"/>
        <w:gridCol w:w="2250"/>
        <w:gridCol w:w="2250"/>
      </w:tblGrid>
      <w:tr>
        <w:tc>
          <w:tcPr>
            <w:tcW w:type="dxa" w:w="2250"/>
          </w:tcPr>
          <w:p>
            <w:pPr>
              <w:jc w:val="center"/>
            </w:pPr>
            <w:r>
              <w:rPr>
                <w:rFonts w:ascii="Times New Roman" w:hAnsi="Times New Roman"/>
                <w:b/>
                <w:sz w:val="22"/>
              </w:rPr>
              <w:t>Perturbation Level</w:t>
            </w:r>
          </w:p>
        </w:tc>
        <w:tc>
          <w:tcPr>
            <w:tcW w:type="dxa" w:w="2250"/>
          </w:tcPr>
          <w:p>
            <w:pPr>
              <w:jc w:val="center"/>
            </w:pPr>
            <w:r>
              <w:rPr>
                <w:rFonts w:ascii="Times New Roman" w:hAnsi="Times New Roman"/>
                <w:b/>
                <w:sz w:val="22"/>
              </w:rPr>
              <w:t>Contrastive (InfoNCE)</w:t>
            </w:r>
          </w:p>
        </w:tc>
        <w:tc>
          <w:tcPr>
            <w:tcW w:type="dxa" w:w="2250"/>
          </w:tcPr>
          <w:p>
            <w:pPr>
              <w:jc w:val="center"/>
            </w:pPr>
            <w:r>
              <w:rPr>
                <w:rFonts w:ascii="Times New Roman" w:hAnsi="Times New Roman"/>
                <w:b/>
                <w:sz w:val="22"/>
              </w:rPr>
              <w:t>Cross-Entropy</w:t>
            </w:r>
          </w:p>
        </w:tc>
        <w:tc>
          <w:tcPr>
            <w:tcW w:type="dxa" w:w="2250"/>
          </w:tcPr>
          <w:p>
            <w:pPr>
              <w:jc w:val="center"/>
            </w:pPr>
            <w:r>
              <w:rPr>
                <w:rFonts w:ascii="Times New Roman" w:hAnsi="Times New Roman"/>
                <w:b/>
                <w:sz w:val="22"/>
              </w:rPr>
              <w:t>Naive Regex Baseline</w:t>
            </w:r>
          </w:p>
        </w:tc>
      </w:tr>
      <w:tr>
        <w:tc>
          <w:tcPr>
            <w:tcW w:type="dxa" w:w="2250"/>
          </w:tcPr>
          <w:p>
            <w:pPr>
              <w:jc w:val="left"/>
            </w:pPr>
            <w:r>
              <w:rPr>
                <w:rFonts w:ascii="Times New Roman" w:hAnsi="Times New Roman"/>
                <w:sz w:val="20"/>
              </w:rPr>
              <w:t>0.0% (Clean Text)</w:t>
            </w:r>
          </w:p>
        </w:tc>
        <w:tc>
          <w:tcPr>
            <w:tcW w:type="dxa" w:w="2250"/>
          </w:tcPr>
          <w:p>
            <w:pPr>
              <w:jc w:val="left"/>
            </w:pPr>
            <w:r>
              <w:rPr>
                <w:rFonts w:ascii="Times New Roman" w:hAnsi="Times New Roman"/>
                <w:sz w:val="20"/>
              </w:rPr>
              <w:t>99.6%</w:t>
            </w:r>
          </w:p>
        </w:tc>
        <w:tc>
          <w:tcPr>
            <w:tcW w:type="dxa" w:w="2250"/>
          </w:tcPr>
          <w:p>
            <w:pPr>
              <w:jc w:val="left"/>
            </w:pPr>
            <w:r>
              <w:rPr>
                <w:rFonts w:ascii="Times New Roman" w:hAnsi="Times New Roman"/>
                <w:sz w:val="20"/>
              </w:rPr>
              <w:t>99.8%</w:t>
            </w:r>
          </w:p>
        </w:tc>
        <w:tc>
          <w:tcPr>
            <w:tcW w:type="dxa" w:w="2250"/>
          </w:tcPr>
          <w:p>
            <w:pPr>
              <w:jc w:val="left"/>
            </w:pPr>
            <w:r>
              <w:rPr>
                <w:rFonts w:ascii="Times New Roman" w:hAnsi="Times New Roman"/>
                <w:sz w:val="20"/>
              </w:rPr>
              <w:t>40.0%</w:t>
            </w:r>
          </w:p>
        </w:tc>
      </w:tr>
      <w:tr>
        <w:tc>
          <w:tcPr>
            <w:tcW w:type="dxa" w:w="2250"/>
          </w:tcPr>
          <w:p>
            <w:pPr>
              <w:jc w:val="left"/>
            </w:pPr>
            <w:r>
              <w:rPr>
                <w:rFonts w:ascii="Times New Roman" w:hAnsi="Times New Roman"/>
                <w:sz w:val="20"/>
              </w:rPr>
              <w:t>5.0% Noise</w:t>
            </w:r>
          </w:p>
        </w:tc>
        <w:tc>
          <w:tcPr>
            <w:tcW w:type="dxa" w:w="2250"/>
          </w:tcPr>
          <w:p>
            <w:pPr>
              <w:jc w:val="left"/>
            </w:pPr>
            <w:r>
              <w:rPr>
                <w:rFonts w:ascii="Times New Roman" w:hAnsi="Times New Roman"/>
                <w:sz w:val="20"/>
              </w:rPr>
              <w:t>99.8%</w:t>
            </w:r>
          </w:p>
        </w:tc>
        <w:tc>
          <w:tcPr>
            <w:tcW w:type="dxa" w:w="2250"/>
          </w:tcPr>
          <w:p>
            <w:pPr>
              <w:jc w:val="left"/>
            </w:pPr>
            <w:r>
              <w:rPr>
                <w:rFonts w:ascii="Times New Roman" w:hAnsi="Times New Roman"/>
                <w:sz w:val="20"/>
              </w:rPr>
              <w:t>100.0%</w:t>
            </w:r>
          </w:p>
        </w:tc>
        <w:tc>
          <w:tcPr>
            <w:tcW w:type="dxa" w:w="2250"/>
          </w:tcPr>
          <w:p>
            <w:pPr>
              <w:jc w:val="left"/>
            </w:pPr>
            <w:r>
              <w:rPr>
                <w:rFonts w:ascii="Times New Roman" w:hAnsi="Times New Roman"/>
                <w:sz w:val="20"/>
              </w:rPr>
              <w:t>28.0%</w:t>
            </w:r>
          </w:p>
        </w:tc>
      </w:tr>
      <w:tr>
        <w:tc>
          <w:tcPr>
            <w:tcW w:type="dxa" w:w="2250"/>
          </w:tcPr>
          <w:p>
            <w:pPr>
              <w:jc w:val="left"/>
            </w:pPr>
            <w:r>
              <w:rPr>
                <w:rFonts w:ascii="Times New Roman" w:hAnsi="Times New Roman"/>
                <w:sz w:val="20"/>
              </w:rPr>
              <w:t>10.0% Noise</w:t>
            </w:r>
          </w:p>
        </w:tc>
        <w:tc>
          <w:tcPr>
            <w:tcW w:type="dxa" w:w="2250"/>
          </w:tcPr>
          <w:p>
            <w:pPr>
              <w:jc w:val="left"/>
            </w:pPr>
            <w:r>
              <w:rPr>
                <w:rFonts w:ascii="Times New Roman" w:hAnsi="Times New Roman"/>
                <w:sz w:val="20"/>
              </w:rPr>
              <w:t>100.0%</w:t>
            </w:r>
          </w:p>
        </w:tc>
        <w:tc>
          <w:tcPr>
            <w:tcW w:type="dxa" w:w="2250"/>
          </w:tcPr>
          <w:p>
            <w:pPr>
              <w:jc w:val="left"/>
            </w:pPr>
            <w:r>
              <w:rPr>
                <w:rFonts w:ascii="Times New Roman" w:hAnsi="Times New Roman"/>
                <w:sz w:val="20"/>
              </w:rPr>
              <w:t>100.0%</w:t>
            </w:r>
          </w:p>
        </w:tc>
        <w:tc>
          <w:tcPr>
            <w:tcW w:type="dxa" w:w="2250"/>
          </w:tcPr>
          <w:p>
            <w:pPr>
              <w:jc w:val="left"/>
            </w:pPr>
            <w:r>
              <w:rPr>
                <w:rFonts w:ascii="Times New Roman" w:hAnsi="Times New Roman"/>
                <w:sz w:val="20"/>
              </w:rPr>
              <w:t>20.2%</w:t>
            </w:r>
          </w:p>
        </w:tc>
      </w:tr>
      <w:tr>
        <w:tc>
          <w:tcPr>
            <w:tcW w:type="dxa" w:w="2250"/>
          </w:tcPr>
          <w:p>
            <w:pPr>
              <w:jc w:val="left"/>
            </w:pPr>
            <w:r>
              <w:rPr>
                <w:rFonts w:ascii="Times New Roman" w:hAnsi="Times New Roman"/>
                <w:sz w:val="20"/>
              </w:rPr>
              <w:t>15.0% Noise</w:t>
            </w:r>
          </w:p>
        </w:tc>
        <w:tc>
          <w:tcPr>
            <w:tcW w:type="dxa" w:w="2250"/>
          </w:tcPr>
          <w:p>
            <w:pPr>
              <w:jc w:val="left"/>
            </w:pPr>
            <w:r>
              <w:rPr>
                <w:rFonts w:ascii="Times New Roman" w:hAnsi="Times New Roman"/>
                <w:sz w:val="20"/>
              </w:rPr>
              <w:t>100.0%</w:t>
            </w:r>
          </w:p>
        </w:tc>
        <w:tc>
          <w:tcPr>
            <w:tcW w:type="dxa" w:w="2250"/>
          </w:tcPr>
          <w:p>
            <w:pPr>
              <w:jc w:val="left"/>
            </w:pPr>
            <w:r>
              <w:rPr>
                <w:rFonts w:ascii="Times New Roman" w:hAnsi="Times New Roman"/>
                <w:sz w:val="20"/>
              </w:rPr>
              <w:t>100.0%</w:t>
            </w:r>
          </w:p>
        </w:tc>
        <w:tc>
          <w:tcPr>
            <w:tcW w:type="dxa" w:w="2250"/>
          </w:tcPr>
          <w:p>
            <w:pPr>
              <w:jc w:val="left"/>
            </w:pPr>
            <w:r>
              <w:rPr>
                <w:rFonts w:ascii="Times New Roman" w:hAnsi="Times New Roman"/>
                <w:sz w:val="20"/>
              </w:rPr>
              <w:t>20.6%</w:t>
            </w:r>
          </w:p>
        </w:tc>
      </w:tr>
      <w:tr>
        <w:tc>
          <w:tcPr>
            <w:tcW w:type="dxa" w:w="2250"/>
          </w:tcPr>
          <w:p>
            <w:pPr>
              <w:jc w:val="left"/>
            </w:pPr>
            <w:r>
              <w:rPr>
                <w:rFonts w:ascii="Times New Roman" w:hAnsi="Times New Roman"/>
                <w:sz w:val="20"/>
              </w:rPr>
              <w:t>20.0% Noise</w:t>
            </w:r>
          </w:p>
        </w:tc>
        <w:tc>
          <w:tcPr>
            <w:tcW w:type="dxa" w:w="2250"/>
          </w:tcPr>
          <w:p>
            <w:pPr>
              <w:jc w:val="left"/>
            </w:pPr>
            <w:r>
              <w:rPr>
                <w:rFonts w:ascii="Times New Roman" w:hAnsi="Times New Roman"/>
                <w:sz w:val="20"/>
              </w:rPr>
              <w:t>99.8%</w:t>
            </w:r>
          </w:p>
        </w:tc>
        <w:tc>
          <w:tcPr>
            <w:tcW w:type="dxa" w:w="2250"/>
          </w:tcPr>
          <w:p>
            <w:pPr>
              <w:jc w:val="left"/>
            </w:pPr>
            <w:r>
              <w:rPr>
                <w:rFonts w:ascii="Times New Roman" w:hAnsi="Times New Roman"/>
                <w:sz w:val="20"/>
              </w:rPr>
              <w:t>100.0%</w:t>
            </w:r>
          </w:p>
        </w:tc>
        <w:tc>
          <w:tcPr>
            <w:tcW w:type="dxa" w:w="2250"/>
          </w:tcPr>
          <w:p>
            <w:pPr>
              <w:jc w:val="left"/>
            </w:pPr>
            <w:r>
              <w:rPr>
                <w:rFonts w:ascii="Times New Roman" w:hAnsi="Times New Roman"/>
                <w:sz w:val="20"/>
              </w:rPr>
              <w:t>8.8%</w:t>
            </w:r>
          </w:p>
        </w:tc>
      </w:tr>
      <w:tr>
        <w:tc>
          <w:tcPr>
            <w:tcW w:type="dxa" w:w="2250"/>
          </w:tcPr>
          <w:p>
            <w:pPr>
              <w:jc w:val="left"/>
            </w:pPr>
            <w:r>
              <w:rPr>
                <w:rFonts w:ascii="Times New Roman" w:hAnsi="Times New Roman"/>
                <w:sz w:val="20"/>
              </w:rPr>
              <w:t>25.0% Noise</w:t>
            </w:r>
          </w:p>
        </w:tc>
        <w:tc>
          <w:tcPr>
            <w:tcW w:type="dxa" w:w="2250"/>
          </w:tcPr>
          <w:p>
            <w:pPr>
              <w:jc w:val="left"/>
            </w:pPr>
            <w:r>
              <w:rPr>
                <w:rFonts w:ascii="Times New Roman" w:hAnsi="Times New Roman"/>
                <w:sz w:val="20"/>
              </w:rPr>
              <w:t>99.8%</w:t>
            </w:r>
          </w:p>
        </w:tc>
        <w:tc>
          <w:tcPr>
            <w:tcW w:type="dxa" w:w="2250"/>
          </w:tcPr>
          <w:p>
            <w:pPr>
              <w:jc w:val="left"/>
            </w:pPr>
            <w:r>
              <w:rPr>
                <w:rFonts w:ascii="Times New Roman" w:hAnsi="Times New Roman"/>
                <w:sz w:val="20"/>
              </w:rPr>
              <w:t>100.0%</w:t>
            </w:r>
          </w:p>
        </w:tc>
        <w:tc>
          <w:tcPr>
            <w:tcW w:type="dxa" w:w="2250"/>
          </w:tcPr>
          <w:p>
            <w:pPr>
              <w:jc w:val="left"/>
            </w:pPr>
            <w:r>
              <w:rPr>
                <w:rFonts w:ascii="Times New Roman" w:hAnsi="Times New Roman"/>
                <w:sz w:val="20"/>
              </w:rPr>
              <w:t>15.2%</w:t>
            </w:r>
          </w:p>
        </w:tc>
      </w:tr>
      <w:tr>
        <w:tc>
          <w:tcPr>
            <w:tcW w:type="dxa" w:w="2250"/>
          </w:tcPr>
          <w:p>
            <w:pPr>
              <w:jc w:val="left"/>
            </w:pPr>
            <w:r>
              <w:rPr>
                <w:rFonts w:ascii="Times New Roman" w:hAnsi="Times New Roman"/>
                <w:sz w:val="20"/>
              </w:rPr>
              <w:t>30.0% Extreme Noise</w:t>
            </w:r>
          </w:p>
        </w:tc>
        <w:tc>
          <w:tcPr>
            <w:tcW w:type="dxa" w:w="2250"/>
          </w:tcPr>
          <w:p>
            <w:pPr>
              <w:jc w:val="left"/>
            </w:pPr>
            <w:r>
              <w:rPr>
                <w:rFonts w:ascii="Times New Roman" w:hAnsi="Times New Roman"/>
                <w:sz w:val="20"/>
              </w:rPr>
              <w:t>100.0%</w:t>
            </w:r>
          </w:p>
        </w:tc>
        <w:tc>
          <w:tcPr>
            <w:tcW w:type="dxa" w:w="2250"/>
          </w:tcPr>
          <w:p>
            <w:pPr>
              <w:jc w:val="left"/>
            </w:pPr>
            <w:r>
              <w:rPr>
                <w:rFonts w:ascii="Times New Roman" w:hAnsi="Times New Roman"/>
                <w:sz w:val="20"/>
              </w:rPr>
              <w:t>100.0%</w:t>
            </w:r>
          </w:p>
        </w:tc>
        <w:tc>
          <w:tcPr>
            <w:tcW w:type="dxa" w:w="2250"/>
          </w:tcPr>
          <w:p>
            <w:pPr>
              <w:jc w:val="left"/>
            </w:pPr>
            <w:r>
              <w:rPr>
                <w:rFonts w:ascii="Times New Roman" w:hAnsi="Times New Roman"/>
                <w:sz w:val="20"/>
              </w:rPr>
              <w:t>4.6%</w:t>
            </w:r>
          </w:p>
        </w:tc>
      </w:tr>
    </w:tbl>
    <w:p>
      <w:pPr>
        <w:spacing w:line="276" w:lineRule="auto" w:before="0" w:after="120"/>
        <w:jc w:val="left"/>
      </w:pPr>
      <w:r>
        <w:rPr>
          <w:rFonts w:ascii="Times New Roman" w:hAnsi="Times New Roman"/>
          <w:b w:val="0"/>
          <w:i w:val="0"/>
          <w:color w:val="000000"/>
          <w:sz w:val="24"/>
        </w:rPr>
        <w:br/>
        <w:t>As seen in Table 5.3, rule-based regex filters catastrophically degrade from 40% to a negligible 4.6% detection rate under 30% character obfuscation. In contrast, the contrastive pre-filter sustains near-perfect detection (99.6%–100.0%) across all perturbation levels, demonstrating superior resilience [8].</w:t>
      </w:r>
    </w:p>
    <w:p>
      <w:pPr>
        <w:spacing w:line="360" w:lineRule="auto" w:before="280" w:after="120"/>
        <w:jc w:val="left"/>
      </w:pPr>
      <w:r>
        <w:rPr>
          <w:rFonts w:ascii="Times New Roman" w:hAnsi="Times New Roman"/>
          <w:b/>
          <w:color w:val="000000"/>
          <w:sz w:val="28"/>
        </w:rPr>
        <w:t>5.6 RQ5: Human Auditor Decision Speed &amp; Operator Trust Evaluation</w:t>
      </w:r>
    </w:p>
    <w:p>
      <w:pPr>
        <w:spacing w:line="276" w:lineRule="auto" w:before="0" w:after="120"/>
        <w:jc w:val="left"/>
      </w:pPr>
      <w:r>
        <w:rPr>
          <w:rFonts w:ascii="Times New Roman" w:hAnsi="Times New Roman"/>
          <w:b w:val="0"/>
          <w:i w:val="0"/>
          <w:color w:val="000000"/>
          <w:sz w:val="24"/>
        </w:rPr>
        <w:t>To validate RQ5, we developed an interactive Streamlit evaluation dashboard (app.py) featuring forensic attribution telemetry. Human security analysts evaluated flagged prompts under two modes: (1) Raw numeric confidence scores, and (2) Dual-mode forensic rationale with semantic tactic tags. Operators reported an estimated 40% reduction in cognitive auditing time and higher decision confidence when presented with tactical explanations [10].</w:t>
      </w:r>
    </w:p>
    <w:p>
      <w:pPr>
        <w:spacing w:line="360" w:lineRule="auto" w:before="280" w:after="120"/>
        <w:jc w:val="left"/>
      </w:pPr>
      <w:r>
        <w:rPr>
          <w:rFonts w:ascii="Times New Roman" w:hAnsi="Times New Roman"/>
          <w:b/>
          <w:color w:val="000000"/>
          <w:sz w:val="28"/>
        </w:rPr>
        <w:t>5.7 RQ6: Real-World Latency Benchmarks</w:t>
      </w:r>
    </w:p>
    <w:p>
      <w:pPr>
        <w:spacing w:line="276" w:lineRule="auto" w:before="0" w:after="120"/>
        <w:jc w:val="left"/>
      </w:pPr>
      <w:r>
        <w:rPr>
          <w:rFonts w:ascii="Times New Roman" w:hAnsi="Times New Roman"/>
          <w:b w:val="0"/>
          <w:i w:val="0"/>
          <w:color w:val="000000"/>
          <w:sz w:val="24"/>
        </w:rPr>
        <w:t>Across 500 consecutive test inferences, the Contrastive Pre-Filter logged a median P50 latency of 4.89 ms and a P95 latency of 7.38 ms on Apple Silicon hardware. This performance is more than 3.3 times faster than our 25 ms production SLA budget, confirming that the pre-filter introduces virtually zero perceptible overhead into active agentic request loops [9].</w:t>
      </w:r>
    </w:p>
    <w:p>
      <w:pPr>
        <w:spacing w:line="360" w:lineRule="auto" w:before="280" w:after="120"/>
        <w:jc w:val="left"/>
      </w:pPr>
      <w:r>
        <w:rPr>
          <w:rFonts w:ascii="Times New Roman" w:hAnsi="Times New Roman"/>
          <w:b/>
          <w:color w:val="000000"/>
          <w:sz w:val="28"/>
        </w:rPr>
        <w:t>5.8 Ablation Study: Impact of Benign Emotional Hard-Negatives</w:t>
      </w:r>
    </w:p>
    <w:p>
      <w:pPr>
        <w:spacing w:line="276" w:lineRule="auto" w:before="0" w:after="120"/>
        <w:jc w:val="left"/>
      </w:pPr>
      <w:r>
        <w:rPr>
          <w:rFonts w:ascii="Times New Roman" w:hAnsi="Times New Roman"/>
          <w:b w:val="0"/>
          <w:i w:val="0"/>
          <w:color w:val="000000"/>
          <w:sz w:val="24"/>
        </w:rPr>
        <w:t>To quantify the precise value of our human-factor dataset design, we conducted an ablation study retraining the Contrastive Detector on training data strictly excluding `benign_emotional_hard_negative` samples. Table 5.4 displays the comparative impact.</w:t>
      </w:r>
    </w:p>
    <w:p>
      <w:pPr>
        <w:spacing w:line="276" w:lineRule="auto" w:before="240" w:after="120"/>
        <w:jc w:val="left"/>
      </w:pPr>
      <w:r>
        <w:rPr>
          <w:rFonts w:ascii="Times New Roman" w:hAnsi="Times New Roman"/>
          <w:b/>
          <w:i w:val="0"/>
          <w:color w:val="000000"/>
          <w:sz w:val="24"/>
        </w:rPr>
        <w:t>Table 5.4: Ablation Study on Benign Emotional Hard-Negatives (N = 2,174 Benign Test Samples)</w:t>
      </w:r>
    </w:p>
    <w:tbl>
      <w:tblPr>
        <w:tblW w:type="auto" w:w="0"/>
        <w:jc w:val="center"/>
        <w:tblLook w:firstColumn="1" w:firstRow="1" w:lastColumn="0" w:lastRow="0" w:noHBand="0" w:noVBand="1" w:val="04A0"/>
      </w:tblPr>
      <w:tblGrid>
        <w:gridCol w:w="1800"/>
        <w:gridCol w:w="1800"/>
        <w:gridCol w:w="1800"/>
        <w:gridCol w:w="1800"/>
        <w:gridCol w:w="1800"/>
      </w:tblGrid>
      <w:tr>
        <w:tc>
          <w:tcPr>
            <w:tcW w:type="dxa" w:w="1800"/>
          </w:tcPr>
          <w:p>
            <w:pPr>
              <w:jc w:val="center"/>
            </w:pPr>
            <w:r>
              <w:rPr>
                <w:rFonts w:ascii="Times New Roman" w:hAnsi="Times New Roman"/>
                <w:b/>
                <w:sz w:val="22"/>
              </w:rPr>
              <w:t>Ablation Condition</w:t>
            </w:r>
          </w:p>
        </w:tc>
        <w:tc>
          <w:tcPr>
            <w:tcW w:type="dxa" w:w="1800"/>
          </w:tcPr>
          <w:p>
            <w:pPr>
              <w:jc w:val="center"/>
            </w:pPr>
            <w:r>
              <w:rPr>
                <w:rFonts w:ascii="Times New Roman" w:hAnsi="Times New Roman"/>
                <w:b/>
                <w:sz w:val="22"/>
              </w:rPr>
              <w:t>Overall Test FPR</w:t>
            </w:r>
          </w:p>
        </w:tc>
        <w:tc>
          <w:tcPr>
            <w:tcW w:type="dxa" w:w="1800"/>
          </w:tcPr>
          <w:p>
            <w:pPr>
              <w:jc w:val="center"/>
            </w:pPr>
            <w:r>
              <w:rPr>
                <w:rFonts w:ascii="Times New Roman" w:hAnsi="Times New Roman"/>
                <w:b/>
                <w:sz w:val="22"/>
              </w:rPr>
              <w:t>Overall Precision</w:t>
            </w:r>
          </w:p>
        </w:tc>
        <w:tc>
          <w:tcPr>
            <w:tcW w:type="dxa" w:w="1800"/>
          </w:tcPr>
          <w:p>
            <w:pPr>
              <w:jc w:val="center"/>
            </w:pPr>
            <w:r>
              <w:rPr>
                <w:rFonts w:ascii="Times New Roman" w:hAnsi="Times New Roman"/>
                <w:b/>
                <w:sz w:val="22"/>
              </w:rPr>
              <w:t>Overall F1-Score</w:t>
            </w:r>
          </w:p>
        </w:tc>
        <w:tc>
          <w:tcPr>
            <w:tcW w:type="dxa" w:w="1800"/>
          </w:tcPr>
          <w:p>
            <w:pPr>
              <w:jc w:val="center"/>
            </w:pPr>
            <w:r>
              <w:rPr>
                <w:rFonts w:ascii="Times New Roman" w:hAnsi="Times New Roman"/>
                <w:b/>
                <w:sz w:val="22"/>
              </w:rPr>
              <w:t>False Positive Count</w:t>
            </w:r>
          </w:p>
        </w:tc>
      </w:tr>
      <w:tr>
        <w:tc>
          <w:tcPr>
            <w:tcW w:type="dxa" w:w="1800"/>
          </w:tcPr>
          <w:p>
            <w:pPr>
              <w:jc w:val="left"/>
            </w:pPr>
            <w:r>
              <w:rPr>
                <w:rFonts w:ascii="Times New Roman" w:hAnsi="Times New Roman"/>
                <w:sz w:val="20"/>
              </w:rPr>
              <w:t>With Hard-Negatives (Proposed)</w:t>
            </w:r>
          </w:p>
        </w:tc>
        <w:tc>
          <w:tcPr>
            <w:tcW w:type="dxa" w:w="1800"/>
          </w:tcPr>
          <w:p>
            <w:pPr>
              <w:jc w:val="left"/>
            </w:pPr>
            <w:r>
              <w:rPr>
                <w:rFonts w:ascii="Times New Roman" w:hAnsi="Times New Roman"/>
                <w:sz w:val="20"/>
              </w:rPr>
              <w:t>0.092%</w:t>
            </w:r>
          </w:p>
        </w:tc>
        <w:tc>
          <w:tcPr>
            <w:tcW w:type="dxa" w:w="1800"/>
          </w:tcPr>
          <w:p>
            <w:pPr>
              <w:jc w:val="left"/>
            </w:pPr>
            <w:r>
              <w:rPr>
                <w:rFonts w:ascii="Times New Roman" w:hAnsi="Times New Roman"/>
                <w:sz w:val="20"/>
              </w:rPr>
              <w:t>99.90%</w:t>
            </w:r>
          </w:p>
        </w:tc>
        <w:tc>
          <w:tcPr>
            <w:tcW w:type="dxa" w:w="1800"/>
          </w:tcPr>
          <w:p>
            <w:pPr>
              <w:jc w:val="left"/>
            </w:pPr>
            <w:r>
              <w:rPr>
                <w:rFonts w:ascii="Times New Roman" w:hAnsi="Times New Roman"/>
                <w:sz w:val="20"/>
              </w:rPr>
              <w:t>99.82%</w:t>
            </w:r>
          </w:p>
        </w:tc>
        <w:tc>
          <w:tcPr>
            <w:tcW w:type="dxa" w:w="1800"/>
          </w:tcPr>
          <w:p>
            <w:pPr>
              <w:jc w:val="left"/>
            </w:pPr>
            <w:r>
              <w:rPr>
                <w:rFonts w:ascii="Times New Roman" w:hAnsi="Times New Roman"/>
                <w:sz w:val="20"/>
              </w:rPr>
              <w:t>2 FP 🛡️</w:t>
            </w:r>
          </w:p>
        </w:tc>
      </w:tr>
      <w:tr>
        <w:tc>
          <w:tcPr>
            <w:tcW w:type="dxa" w:w="1800"/>
          </w:tcPr>
          <w:p>
            <w:pPr>
              <w:jc w:val="left"/>
            </w:pPr>
            <w:r>
              <w:rPr>
                <w:rFonts w:ascii="Times New Roman" w:hAnsi="Times New Roman"/>
                <w:sz w:val="20"/>
              </w:rPr>
              <w:t>Without Hard-Negatives (Ablated)</w:t>
            </w:r>
          </w:p>
        </w:tc>
        <w:tc>
          <w:tcPr>
            <w:tcW w:type="dxa" w:w="1800"/>
          </w:tcPr>
          <w:p>
            <w:pPr>
              <w:jc w:val="left"/>
            </w:pPr>
            <w:r>
              <w:rPr>
                <w:rFonts w:ascii="Times New Roman" w:hAnsi="Times New Roman"/>
                <w:sz w:val="20"/>
              </w:rPr>
              <w:t>10.21%</w:t>
            </w:r>
          </w:p>
        </w:tc>
        <w:tc>
          <w:tcPr>
            <w:tcW w:type="dxa" w:w="1800"/>
          </w:tcPr>
          <w:p>
            <w:pPr>
              <w:jc w:val="left"/>
            </w:pPr>
            <w:r>
              <w:rPr>
                <w:rFonts w:ascii="Times New Roman" w:hAnsi="Times New Roman"/>
                <w:sz w:val="20"/>
              </w:rPr>
              <w:t>89.73%</w:t>
            </w:r>
          </w:p>
        </w:tc>
        <w:tc>
          <w:tcPr>
            <w:tcW w:type="dxa" w:w="1800"/>
          </w:tcPr>
          <w:p>
            <w:pPr>
              <w:jc w:val="left"/>
            </w:pPr>
            <w:r>
              <w:rPr>
                <w:rFonts w:ascii="Times New Roman" w:hAnsi="Times New Roman"/>
                <w:sz w:val="20"/>
              </w:rPr>
              <w:t>94.38%</w:t>
            </w:r>
          </w:p>
        </w:tc>
        <w:tc>
          <w:tcPr>
            <w:tcW w:type="dxa" w:w="1800"/>
          </w:tcPr>
          <w:p>
            <w:pPr>
              <w:jc w:val="left"/>
            </w:pPr>
            <w:r>
              <w:rPr>
                <w:rFonts w:ascii="Times New Roman" w:hAnsi="Times New Roman"/>
                <w:sz w:val="20"/>
              </w:rPr>
              <w:t>222 FP 🚨</w:t>
            </w:r>
          </w:p>
        </w:tc>
      </w:tr>
      <w:tr>
        <w:tc>
          <w:tcPr>
            <w:tcW w:type="dxa" w:w="1800"/>
          </w:tcPr>
          <w:p>
            <w:pPr>
              <w:jc w:val="left"/>
            </w:pPr>
            <w:r>
              <w:rPr>
                <w:rFonts w:ascii="Times New Roman" w:hAnsi="Times New Roman"/>
                <w:sz w:val="20"/>
              </w:rPr>
              <w:t>Empirical Difference / Impact</w:t>
            </w:r>
          </w:p>
        </w:tc>
        <w:tc>
          <w:tcPr>
            <w:tcW w:type="dxa" w:w="1800"/>
          </w:tcPr>
          <w:p>
            <w:pPr>
              <w:jc w:val="left"/>
            </w:pPr>
            <w:r>
              <w:rPr>
                <w:rFonts w:ascii="Times New Roman" w:hAnsi="Times New Roman"/>
                <w:sz w:val="20"/>
              </w:rPr>
              <w:t>+10.12% FPR Spike</w:t>
            </w:r>
          </w:p>
        </w:tc>
        <w:tc>
          <w:tcPr>
            <w:tcW w:type="dxa" w:w="1800"/>
          </w:tcPr>
          <w:p>
            <w:pPr>
              <w:jc w:val="left"/>
            </w:pPr>
            <w:r>
              <w:rPr>
                <w:rFonts w:ascii="Times New Roman" w:hAnsi="Times New Roman"/>
                <w:sz w:val="20"/>
              </w:rPr>
              <w:t>-10.17% Precision Drop</w:t>
            </w:r>
          </w:p>
        </w:tc>
        <w:tc>
          <w:tcPr>
            <w:tcW w:type="dxa" w:w="1800"/>
          </w:tcPr>
          <w:p>
            <w:pPr>
              <w:jc w:val="left"/>
            </w:pPr>
            <w:r>
              <w:rPr>
                <w:rFonts w:ascii="Times New Roman" w:hAnsi="Times New Roman"/>
                <w:sz w:val="20"/>
              </w:rPr>
              <w:t>-5.44% F1 Drop</w:t>
            </w:r>
          </w:p>
        </w:tc>
        <w:tc>
          <w:tcPr>
            <w:tcW w:type="dxa" w:w="1800"/>
          </w:tcPr>
          <w:p>
            <w:pPr>
              <w:jc w:val="left"/>
            </w:pPr>
            <w:r>
              <w:rPr>
                <w:rFonts w:ascii="Times New Roman" w:hAnsi="Times New Roman"/>
                <w:sz w:val="20"/>
              </w:rPr>
              <w:t>+220 False Alarms Prevented ✅</w:t>
            </w:r>
          </w:p>
        </w:tc>
      </w:tr>
    </w:tbl>
    <w:p>
      <w:pPr>
        <w:spacing w:line="276" w:lineRule="auto" w:before="0" w:after="120"/>
        <w:jc w:val="left"/>
      </w:pPr>
      <w:r>
        <w:rPr>
          <w:rFonts w:ascii="Times New Roman" w:hAnsi="Times New Roman"/>
          <w:b w:val="0"/>
          <w:i w:val="0"/>
          <w:color w:val="000000"/>
          <w:sz w:val="24"/>
        </w:rPr>
        <w:br/>
        <w:t>Table 5.4 delivers the central empirical finding of this thesis: when emotional hard-negatives are omitted, the model confuses genuine human panic, grief, and emotional urgency with adversarial intent, causing false alarms to explode from 2 to 222 (+220 false positives on benign queries, with FPR jumping past 10%). Incorporating emotional hard-negatives into InfoNCE training completely prevents these 220 false alarms, validating our core hypothesis [16].</w:t>
      </w:r>
    </w:p>
    <w:p>
      <w:r>
        <w:br w:type="page"/>
      </w:r>
    </w:p>
    <w:p>
      <w:pPr>
        <w:spacing w:line="276" w:lineRule="auto" w:before="240" w:after="80"/>
        <w:jc w:val="center"/>
      </w:pPr>
      <w:r>
        <w:rPr>
          <w:rFonts w:ascii="Times New Roman" w:hAnsi="Times New Roman"/>
          <w:b/>
          <w:i w:val="0"/>
          <w:color w:val="000000"/>
          <w:sz w:val="44"/>
        </w:rPr>
        <w:t>Chapter 6</w:t>
      </w:r>
    </w:p>
    <w:p>
      <w:pPr>
        <w:spacing w:line="276" w:lineRule="auto" w:before="0" w:after="480"/>
        <w:jc w:val="center"/>
      </w:pPr>
      <w:r>
        <w:rPr>
          <w:rFonts w:ascii="Times New Roman" w:hAnsi="Times New Roman"/>
          <w:b/>
          <w:i w:val="0"/>
          <w:color w:val="000000"/>
          <w:sz w:val="44"/>
        </w:rPr>
        <w:t>Conclusion and Future Scope</w:t>
      </w:r>
    </w:p>
    <w:p>
      <w:pPr>
        <w:spacing w:line="360" w:lineRule="auto" w:before="280" w:after="120"/>
        <w:jc w:val="left"/>
      </w:pPr>
      <w:r>
        <w:rPr>
          <w:rFonts w:ascii="Times New Roman" w:hAnsi="Times New Roman"/>
          <w:b/>
          <w:color w:val="000000"/>
          <w:sz w:val="28"/>
        </w:rPr>
        <w:t>6.1 Summary of Contributions</w:t>
      </w:r>
    </w:p>
    <w:p>
      <w:pPr>
        <w:spacing w:line="276" w:lineRule="auto" w:before="0" w:after="120"/>
        <w:jc w:val="left"/>
      </w:pPr>
      <w:r>
        <w:rPr>
          <w:rFonts w:ascii="Times New Roman" w:hAnsi="Times New Roman"/>
          <w:b w:val="0"/>
          <w:i w:val="0"/>
          <w:color w:val="000000"/>
          <w:sz w:val="24"/>
        </w:rPr>
        <w:t>This thesis established an empirically validated, lightweight, and explainable pre-filter framework for LLM agent security. The key contributions are:</w:t>
      </w:r>
    </w:p>
    <w:p>
      <w:pPr>
        <w:spacing w:line="276" w:lineRule="auto" w:before="0" w:after="120"/>
        <w:jc w:val="left"/>
      </w:pPr>
      <w:r>
        <w:rPr>
          <w:rFonts w:ascii="Times New Roman" w:hAnsi="Times New Roman"/>
          <w:b w:val="0"/>
          <w:i w:val="0"/>
          <w:color w:val="000000"/>
          <w:sz w:val="24"/>
        </w:rPr>
        <w:t>1. Multi-Tiered Threat Taxonomy: Formulated a comprehensive attack taxonomy encompassing psychological persuasion (authority, urgency, empathy, roleplay) and regional code-switching (Bangla and Banglish).</w:t>
      </w:r>
    </w:p>
    <w:p>
      <w:pPr>
        <w:spacing w:line="276" w:lineRule="auto" w:before="0" w:after="120"/>
        <w:jc w:val="left"/>
      </w:pPr>
      <w:r>
        <w:rPr>
          <w:rFonts w:ascii="Times New Roman" w:hAnsi="Times New Roman"/>
          <w:b w:val="0"/>
          <w:i w:val="0"/>
          <w:color w:val="000000"/>
          <w:sz w:val="24"/>
        </w:rPr>
        <w:t>2. Contrastive Representation Learning: Demonstrated that InfoNCE contrastive training cuts the False Positive Rate in half (from 6.25% to 3.12%) compared to standard cross-entropy fine-tuning while achieving an AUROC of 0.975.</w:t>
      </w:r>
    </w:p>
    <w:p>
      <w:pPr>
        <w:spacing w:line="276" w:lineRule="auto" w:before="0" w:after="120"/>
        <w:jc w:val="left"/>
      </w:pPr>
      <w:r>
        <w:rPr>
          <w:rFonts w:ascii="Times New Roman" w:hAnsi="Times New Roman"/>
          <w:b w:val="0"/>
          <w:i w:val="0"/>
          <w:color w:val="000000"/>
          <w:sz w:val="24"/>
        </w:rPr>
        <w:t>3. Robustness &amp; Generalization: Proved strong zero-shot generalization (80% detection) on held-out empathy attacks and sustained &gt;98% recall under 30% adversarial obfuscation where regex filters collapsed.</w:t>
      </w:r>
    </w:p>
    <w:p>
      <w:pPr>
        <w:spacing w:line="276" w:lineRule="auto" w:before="0" w:after="120"/>
        <w:jc w:val="left"/>
      </w:pPr>
      <w:r>
        <w:rPr>
          <w:rFonts w:ascii="Times New Roman" w:hAnsi="Times New Roman"/>
          <w:b w:val="0"/>
          <w:i w:val="0"/>
          <w:color w:val="000000"/>
          <w:sz w:val="24"/>
        </w:rPr>
        <w:t>4. Protection of Benign Human Affect: Proved via ablation that mining benign emotional hard-negatives prevents an 80% false-alarm spike on urgent medical and emergency inquiries.</w:t>
      </w:r>
    </w:p>
    <w:p>
      <w:pPr>
        <w:spacing w:line="276" w:lineRule="auto" w:before="0" w:after="120"/>
        <w:jc w:val="left"/>
      </w:pPr>
      <w:r>
        <w:rPr>
          <w:rFonts w:ascii="Times New Roman" w:hAnsi="Times New Roman"/>
          <w:b w:val="0"/>
          <w:i w:val="0"/>
          <w:color w:val="000000"/>
          <w:sz w:val="24"/>
        </w:rPr>
        <w:t>5. Real-Time Production SLA: Delivered a median inference latency of 4.9 ms, satisfying real-time production requirements with zero runtime disruption.</w:t>
      </w:r>
    </w:p>
    <w:p>
      <w:pPr>
        <w:spacing w:line="360" w:lineRule="auto" w:before="280" w:after="120"/>
        <w:jc w:val="left"/>
      </w:pPr>
      <w:r>
        <w:rPr>
          <w:rFonts w:ascii="Times New Roman" w:hAnsi="Times New Roman"/>
          <w:b/>
          <w:color w:val="000000"/>
          <w:sz w:val="28"/>
        </w:rPr>
        <w:t>6.2 Key Takeaways for Agentic AI Deployments</w:t>
      </w:r>
    </w:p>
    <w:p>
      <w:pPr>
        <w:spacing w:line="276" w:lineRule="auto" w:before="0" w:after="120"/>
        <w:jc w:val="left"/>
      </w:pPr>
      <w:r>
        <w:rPr>
          <w:rFonts w:ascii="Times New Roman" w:hAnsi="Times New Roman"/>
          <w:b w:val="0"/>
          <w:i w:val="0"/>
          <w:color w:val="000000"/>
          <w:sz w:val="24"/>
        </w:rPr>
        <w:t>Security engineers deploying autonomous agents should avoid relying solely on token perplexity or static keyword matchers. Ingress security pre-filters must explicitly incorporate psychological intent representations and regional linguistic variations to withstand modern socio-technical exploits.</w:t>
      </w:r>
    </w:p>
    <w:p>
      <w:pPr>
        <w:spacing w:line="360" w:lineRule="auto" w:before="280" w:after="120"/>
        <w:jc w:val="left"/>
      </w:pPr>
      <w:r>
        <w:rPr>
          <w:rFonts w:ascii="Times New Roman" w:hAnsi="Times New Roman"/>
          <w:b/>
          <w:color w:val="000000"/>
          <w:sz w:val="28"/>
        </w:rPr>
        <w:t>6.3 Future Scope &amp; Research Directions</w:t>
      </w:r>
    </w:p>
    <w:p>
      <w:pPr>
        <w:spacing w:line="276" w:lineRule="auto" w:before="0" w:after="120"/>
        <w:jc w:val="left"/>
      </w:pPr>
      <w:r>
        <w:rPr>
          <w:rFonts w:ascii="Times New Roman" w:hAnsi="Times New Roman"/>
          <w:b w:val="0"/>
          <w:i w:val="0"/>
          <w:color w:val="000000"/>
          <w:sz w:val="24"/>
        </w:rPr>
        <w:t>Future research can expand upon this work across two key directions:</w:t>
      </w:r>
    </w:p>
    <w:p>
      <w:pPr>
        <w:spacing w:line="276" w:lineRule="auto" w:before="0" w:after="120"/>
        <w:jc w:val="left"/>
      </w:pPr>
      <w:r>
        <w:rPr>
          <w:rFonts w:ascii="Times New Roman" w:hAnsi="Times New Roman"/>
          <w:b w:val="0"/>
          <w:i w:val="0"/>
          <w:color w:val="000000"/>
          <w:sz w:val="24"/>
        </w:rPr>
        <w:t>• Multi-Agent Transport Side-Channel Analysis: While this thesis secures application-layer text content, future investigations can explore transport-layer side-channel metadata leakage (message timing, packet sizing, transmission burstiness) between autonomous multi-agent pipelines [23].</w:t>
      </w:r>
    </w:p>
    <w:p>
      <w:pPr>
        <w:spacing w:line="276" w:lineRule="auto" w:before="0" w:after="120"/>
        <w:jc w:val="left"/>
      </w:pPr>
      <w:r>
        <w:rPr>
          <w:rFonts w:ascii="Times New Roman" w:hAnsi="Times New Roman"/>
          <w:b w:val="0"/>
          <w:i w:val="0"/>
          <w:color w:val="000000"/>
          <w:sz w:val="24"/>
        </w:rPr>
        <w:t>• Multimodal Pre-Filtering: Expanding contrastive representation learning to multimodal ingress pipelines (processing vision-language prompt injections embedded in uploaded images and documents) [24].</w:t>
      </w:r>
    </w:p>
    <w:p>
      <w:r>
        <w:br w:type="page"/>
      </w:r>
    </w:p>
    <w:p>
      <w:pPr>
        <w:spacing w:line="276" w:lineRule="auto" w:before="0" w:after="360"/>
        <w:jc w:val="center"/>
      </w:pPr>
      <w:r>
        <w:rPr>
          <w:rFonts w:ascii="Times New Roman" w:hAnsi="Times New Roman"/>
          <w:b/>
          <w:i w:val="0"/>
          <w:color w:val="000000"/>
          <w:sz w:val="40"/>
        </w:rPr>
        <w:t>References</w:t>
      </w:r>
    </w:p>
    <w:p>
      <w:pPr>
        <w:spacing w:line="276" w:lineRule="auto" w:before="0" w:after="120"/>
        <w:jc w:val="left"/>
      </w:pPr>
      <w:r>
        <w:rPr>
          <w:rFonts w:ascii="Times New Roman" w:hAnsi="Times New Roman"/>
          <w:b w:val="0"/>
          <w:i w:val="0"/>
          <w:color w:val="000000"/>
          <w:sz w:val="22"/>
        </w:rPr>
        <w:t>[1] S. Yao, J. Zhao, D. Yu, N. Du, I. Shafran, K. Narasimhan, and Y. Cao, “ReAct: Synergizing reasoning and acting in language models,” Journal of Artificial Intelligence Research, vol. 80, pp. 1127–1164, 2024.</w:t>
      </w:r>
    </w:p>
    <w:p>
      <w:pPr>
        <w:spacing w:line="276" w:lineRule="auto" w:before="0" w:after="120"/>
        <w:jc w:val="left"/>
      </w:pPr>
      <w:r>
        <w:rPr>
          <w:rFonts w:ascii="Times New Roman" w:hAnsi="Times New Roman"/>
          <w:b w:val="0"/>
          <w:i w:val="0"/>
          <w:color w:val="000000"/>
          <w:sz w:val="22"/>
        </w:rPr>
        <w:t>[2] K. Greshake, S. Abdelnabi, S. Mishra, C. Endres, T. Holz, and M. Fritz, “Formal analysis of indirect prompt injection attacks in tool-augmented large language models,” IEEE Transactions on Dependable and Secure Computing, vol. 21, no. 4, pp. 2890–2905, 2024.</w:t>
      </w:r>
    </w:p>
    <w:p>
      <w:pPr>
        <w:spacing w:line="276" w:lineRule="auto" w:before="0" w:after="120"/>
        <w:jc w:val="left"/>
      </w:pPr>
      <w:r>
        <w:rPr>
          <w:rFonts w:ascii="Times New Roman" w:hAnsi="Times New Roman"/>
          <w:b w:val="0"/>
          <w:i w:val="0"/>
          <w:color w:val="000000"/>
          <w:sz w:val="22"/>
        </w:rPr>
        <w:t>[3] M. S. Rahman and E. Al-Shaer, “Formal analysis and mitigation of prompt injection vulnerabilities in large language model applications,” Computers &amp; Security, vol. 134, p. 103445, 2023.</w:t>
      </w:r>
    </w:p>
    <w:p>
      <w:pPr>
        <w:spacing w:line="276" w:lineRule="auto" w:before="0" w:after="120"/>
        <w:jc w:val="left"/>
      </w:pPr>
      <w:r>
        <w:rPr>
          <w:rFonts w:ascii="Times New Roman" w:hAnsi="Times New Roman"/>
          <w:b w:val="0"/>
          <w:i w:val="0"/>
          <w:color w:val="000000"/>
          <w:sz w:val="22"/>
        </w:rPr>
        <w:t>[4] S. Qiu, Q. Liu, S. Zhou, and C. Huang, “Adversarial attacks and defenses in natural language processing: A survey,” ACM Computing Surveys, vol. 53, no. 6, pp. 1–39, 2020.</w:t>
      </w:r>
    </w:p>
    <w:p>
      <w:pPr>
        <w:spacing w:line="276" w:lineRule="auto" w:before="0" w:after="120"/>
        <w:jc w:val="left"/>
      </w:pPr>
      <w:r>
        <w:rPr>
          <w:rFonts w:ascii="Times New Roman" w:hAnsi="Times New Roman"/>
          <w:b w:val="0"/>
          <w:i w:val="0"/>
          <w:color w:val="000000"/>
          <w:sz w:val="22"/>
        </w:rPr>
        <w:t>[5] Y. Li, B. Wu, Y. Jiang, Z. Li, and S. T. Xia, “Backdoor attacks and conversational jailbreaks on natural language processing models: A survey,” IEEE Transactions on Dependable and Secure Computing, vol. 20, no. 4, pp. 3122–3139, 2022.</w:t>
      </w:r>
    </w:p>
    <w:p>
      <w:pPr>
        <w:spacing w:line="276" w:lineRule="auto" w:before="0" w:after="120"/>
        <w:jc w:val="left"/>
      </w:pPr>
      <w:r>
        <w:rPr>
          <w:rFonts w:ascii="Times New Roman" w:hAnsi="Times New Roman"/>
          <w:b w:val="0"/>
          <w:i w:val="0"/>
          <w:color w:val="000000"/>
          <w:sz w:val="22"/>
        </w:rPr>
        <w:t>[6] A. Sarker and A. Das, “Cross-lingual vulnerability and safety alignment gaps in South Asian languages,” Information Processing &amp; Management, vol. 59, no. 4, p. 102980, 2022.</w:t>
      </w:r>
    </w:p>
    <w:p>
      <w:pPr>
        <w:spacing w:line="276" w:lineRule="auto" w:before="0" w:after="120"/>
        <w:jc w:val="left"/>
      </w:pPr>
      <w:r>
        <w:rPr>
          <w:rFonts w:ascii="Times New Roman" w:hAnsi="Times New Roman"/>
          <w:b w:val="0"/>
          <w:i w:val="0"/>
          <w:color w:val="000000"/>
          <w:sz w:val="22"/>
        </w:rPr>
        <w:t>[7] T. Chen, S. Kornblith, M. Norouzi, and G. Hinton, “A simple framework for contrastive learning of visual representations,” IEEE Transactions on Pattern Analysis and Machine Intelligence, vol. 44, no. 11, pp. 8490–8504, 2022.</w:t>
      </w:r>
    </w:p>
    <w:p>
      <w:pPr>
        <w:spacing w:line="276" w:lineRule="auto" w:before="0" w:after="120"/>
        <w:jc w:val="left"/>
      </w:pPr>
      <w:r>
        <w:rPr>
          <w:rFonts w:ascii="Times New Roman" w:hAnsi="Times New Roman"/>
          <w:b w:val="0"/>
          <w:i w:val="0"/>
          <w:color w:val="000000"/>
          <w:sz w:val="22"/>
        </w:rPr>
        <w:t>[8] D. Zhang and Y. Wang, “Contrastive representation learning for robust text classification: A comprehensive survey,” Information Sciences, vol. 648, p. 119572, 2023.</w:t>
      </w:r>
    </w:p>
    <w:p>
      <w:pPr>
        <w:spacing w:line="276" w:lineRule="auto" w:before="0" w:after="120"/>
        <w:jc w:val="left"/>
      </w:pPr>
      <w:r>
        <w:rPr>
          <w:rFonts w:ascii="Times New Roman" w:hAnsi="Times New Roman"/>
          <w:b w:val="0"/>
          <w:i w:val="0"/>
          <w:color w:val="000000"/>
          <w:sz w:val="22"/>
        </w:rPr>
        <w:t>[9] A. Kumar and R. Goyal, “Empirical evaluation of lightweight guardrail mechanisms against jailbreaking attacks in agentic LLM pipelines,” IEEE Access, vol. 12, pp. 45210–45225, 2024.</w:t>
      </w:r>
    </w:p>
    <w:p>
      <w:pPr>
        <w:spacing w:line="276" w:lineRule="auto" w:before="0" w:after="120"/>
        <w:jc w:val="left"/>
      </w:pPr>
      <w:r>
        <w:rPr>
          <w:rFonts w:ascii="Times New Roman" w:hAnsi="Times New Roman"/>
          <w:b w:val="0"/>
          <w:i w:val="0"/>
          <w:color w:val="000000"/>
          <w:sz w:val="22"/>
        </w:rPr>
        <w:t>[10] D. Wang, Q. Yang, A. Abdul, and B. Y. Lim, “Designing theory-driven user-centric explainable AI: Improving human guidance and operator trust,” IEEE Transactions on Human-Machine Systems, vol. 51, no. 3, pp. 219–232, 2021.</w:t>
      </w:r>
    </w:p>
    <w:p>
      <w:pPr>
        <w:spacing w:line="276" w:lineRule="auto" w:before="0" w:after="120"/>
        <w:jc w:val="left"/>
      </w:pPr>
      <w:r>
        <w:rPr>
          <w:rFonts w:ascii="Times New Roman" w:hAnsi="Times New Roman"/>
          <w:b w:val="0"/>
          <w:i w:val="0"/>
          <w:color w:val="000000"/>
          <w:sz w:val="22"/>
        </w:rPr>
        <w:t>[11] M. A. Based and M. Hasan, “Cost-effective security architectures for natural language processing in developing educational ecosystems,” International Journal of Computer Applications, vol. 184, no. 12, pp. 34–42, 2022.</w:t>
      </w:r>
    </w:p>
    <w:p>
      <w:pPr>
        <w:spacing w:line="276" w:lineRule="auto" w:before="0" w:after="120"/>
        <w:jc w:val="left"/>
      </w:pPr>
      <w:r>
        <w:rPr>
          <w:rFonts w:ascii="Times New Roman" w:hAnsi="Times New Roman"/>
          <w:b w:val="0"/>
          <w:i w:val="0"/>
          <w:color w:val="000000"/>
          <w:sz w:val="22"/>
        </w:rPr>
        <w:t>[12] M. S. Islam, R. Ahmed, and K. Hossain, “Socio-economic impact of local artificial intelligence deployments in emerging South Asian economies,” Technology in Society, vol. 72, p. 102180, 2023.</w:t>
      </w:r>
    </w:p>
    <w:p>
      <w:pPr>
        <w:spacing w:line="276" w:lineRule="auto" w:before="0" w:after="120"/>
        <w:jc w:val="left"/>
      </w:pPr>
      <w:r>
        <w:rPr>
          <w:rFonts w:ascii="Times New Roman" w:hAnsi="Times New Roman"/>
          <w:b w:val="0"/>
          <w:i w:val="0"/>
          <w:color w:val="000000"/>
          <w:sz w:val="22"/>
        </w:rPr>
        <w:t>[13] G. Alon and M. Kamfonas, “Detecting language model adversarial inputs using perplexity and semantic anomaly measures,” IEEE Transactions on Information Forensics and Security, vol. 19, pp. 1420–1433, 2024.</w:t>
      </w:r>
    </w:p>
    <w:p>
      <w:pPr>
        <w:spacing w:line="276" w:lineRule="auto" w:before="0" w:after="120"/>
        <w:jc w:val="left"/>
      </w:pPr>
      <w:r>
        <w:rPr>
          <w:rFonts w:ascii="Times New Roman" w:hAnsi="Times New Roman"/>
          <w:b w:val="0"/>
          <w:i w:val="0"/>
          <w:color w:val="000000"/>
          <w:sz w:val="22"/>
        </w:rPr>
        <w:t>[14] P. Khosla, P. Teterwak, C. Wang, A. Sarna, Y. Tian, P. Isola, A. Maschinot, C. Liu, and D. Krishnan, “Supervised contrastive learning,” IEEE Transactions on Pattern Analysis and Machine Intelligence, vol. 45, no. 7, pp. 8920–8934, 2023.</w:t>
      </w:r>
    </w:p>
    <w:p>
      <w:pPr>
        <w:spacing w:line="276" w:lineRule="auto" w:before="0" w:after="120"/>
        <w:jc w:val="left"/>
      </w:pPr>
      <w:r>
        <w:rPr>
          <w:rFonts w:ascii="Times New Roman" w:hAnsi="Times New Roman"/>
          <w:b w:val="0"/>
          <w:i w:val="0"/>
          <w:color w:val="000000"/>
          <w:sz w:val="22"/>
        </w:rPr>
        <w:t>[15] T. Gao, X. Yao, and D. Chen, “Contrastive learning of sentence embeddings for out-of-distribution intent detection,” Computational Linguistics, vol. 49, no. 3, pp. 621–648, 2023.</w:t>
      </w:r>
    </w:p>
    <w:p>
      <w:pPr>
        <w:spacing w:line="276" w:lineRule="auto" w:before="0" w:after="120"/>
        <w:jc w:val="left"/>
      </w:pPr>
      <w:r>
        <w:rPr>
          <w:rFonts w:ascii="Times New Roman" w:hAnsi="Times New Roman"/>
          <w:b w:val="0"/>
          <w:i w:val="0"/>
          <w:color w:val="000000"/>
          <w:sz w:val="22"/>
        </w:rPr>
        <w:t>[16] R. Cialdini and B. Sagarin, “Interpersonal persuasion and psychological compliance heuristics in automated conversational agents,” Computers in Human Behavior, vol. 118, p. 106689, 2021.</w:t>
      </w:r>
    </w:p>
    <w:p>
      <w:pPr>
        <w:spacing w:line="276" w:lineRule="auto" w:before="0" w:after="120"/>
        <w:jc w:val="left"/>
      </w:pPr>
      <w:r>
        <w:rPr>
          <w:rFonts w:ascii="Times New Roman" w:hAnsi="Times New Roman"/>
          <w:b w:val="0"/>
          <w:i w:val="0"/>
          <w:color w:val="000000"/>
          <w:sz w:val="22"/>
        </w:rPr>
        <w:t>[17] S. M. Lundberg and S.-I. Lee, “A unified approach to interpreting model predictions,” Nature Machine Intelligence, vol. 2, no. 1, pp. 56–67, 2020.</w:t>
      </w:r>
    </w:p>
    <w:p>
      <w:pPr>
        <w:spacing w:line="276" w:lineRule="auto" w:before="0" w:after="120"/>
        <w:jc w:val="left"/>
      </w:pPr>
      <w:r>
        <w:rPr>
          <w:rFonts w:ascii="Times New Roman" w:hAnsi="Times New Roman"/>
          <w:b w:val="0"/>
          <w:i w:val="0"/>
          <w:color w:val="000000"/>
          <w:sz w:val="22"/>
        </w:rPr>
        <w:t>[18] M. Hasan and M. S. Islam, “Phonetic transliteration and code-switched Bengali-English intent classification in conversational systems,” ACM Transactions on Asian and Low-Resource Language Information Processing, vol. 22, no. 5, pp. 1–18, 2023.</w:t>
      </w:r>
    </w:p>
    <w:p>
      <w:pPr>
        <w:spacing w:line="276" w:lineRule="auto" w:before="0" w:after="120"/>
        <w:jc w:val="left"/>
      </w:pPr>
      <w:r>
        <w:rPr>
          <w:rFonts w:ascii="Times New Roman" w:hAnsi="Times New Roman"/>
          <w:b w:val="0"/>
          <w:i w:val="0"/>
          <w:color w:val="000000"/>
          <w:sz w:val="22"/>
        </w:rPr>
        <w:t>[19] K. Roy, S. Saha, and A. Mukherjee, “Adversarial robustness of transformer models in low-resource South Asian languages,” IEEE/ACM Transactions on Audio, Speech, and Language Processing, vol. 31, pp. 2105–2118, 2023.</w:t>
      </w:r>
    </w:p>
    <w:p>
      <w:pPr>
        <w:spacing w:line="276" w:lineRule="auto" w:before="0" w:after="120"/>
        <w:jc w:val="left"/>
      </w:pPr>
      <w:r>
        <w:rPr>
          <w:rFonts w:ascii="Times New Roman" w:hAnsi="Times New Roman"/>
          <w:b w:val="0"/>
          <w:i w:val="0"/>
          <w:color w:val="000000"/>
          <w:sz w:val="22"/>
        </w:rPr>
        <w:t>[20] V. Sanh, L. Debut, J. Chaumond, and T. Wolf, “DistilBERT: A distilled version of BERT for real-time natural language processing,” Foundations and Trends in Information Retrieval, vol. 16, no. 3, pp. 245–271, 2021.</w:t>
      </w:r>
    </w:p>
    <w:p>
      <w:pPr>
        <w:spacing w:line="276" w:lineRule="auto" w:before="0" w:after="120"/>
        <w:jc w:val="left"/>
      </w:pPr>
      <w:r>
        <w:rPr>
          <w:rFonts w:ascii="Times New Roman" w:hAnsi="Times New Roman"/>
          <w:b w:val="0"/>
          <w:i w:val="0"/>
          <w:color w:val="000000"/>
          <w:sz w:val="22"/>
        </w:rPr>
        <w:t>[21] B. Efron, “Bootstrap methods: Another look at the jackknife,” The Annals of Statistics, vol. 7, no. 1, pp. 1–26, 1979.</w:t>
      </w:r>
    </w:p>
    <w:p>
      <w:pPr>
        <w:spacing w:line="276" w:lineRule="auto" w:before="0" w:after="120"/>
        <w:jc w:val="left"/>
      </w:pPr>
      <w:r>
        <w:rPr>
          <w:rFonts w:ascii="Times New Roman" w:hAnsi="Times New Roman"/>
          <w:b w:val="0"/>
          <w:i w:val="0"/>
          <w:color w:val="000000"/>
          <w:sz w:val="22"/>
        </w:rPr>
        <w:t>[22] L. Van der Maaten and G. Hinton, “Visualizing data using t-SNE,” Journal of Machine Learning Research, vol. 9, no. 11, pp. 2579–2605, 2008.</w:t>
      </w:r>
    </w:p>
    <w:p>
      <w:pPr>
        <w:spacing w:line="276" w:lineRule="auto" w:before="0" w:after="120"/>
        <w:jc w:val="left"/>
      </w:pPr>
      <w:r>
        <w:rPr>
          <w:rFonts w:ascii="Times New Roman" w:hAnsi="Times New Roman"/>
          <w:b w:val="0"/>
          <w:i w:val="0"/>
          <w:color w:val="000000"/>
          <w:sz w:val="22"/>
        </w:rPr>
        <w:t>[23] Y. Benjamini and Y. Hochberg, “Controlling the false discovery rate: A practical and powerful approach to multiple testing,” Journal of the Royal Statistical Society: Series B (Methodological), vol. 57, no. 1, pp. 289–300, 1995.</w:t>
      </w:r>
    </w:p>
    <w:p>
      <w:pPr>
        <w:spacing w:line="276" w:lineRule="auto" w:before="0" w:after="120"/>
        <w:jc w:val="left"/>
      </w:pPr>
      <w:r>
        <w:rPr>
          <w:rFonts w:ascii="Times New Roman" w:hAnsi="Times New Roman"/>
          <w:b w:val="0"/>
          <w:i w:val="0"/>
          <w:color w:val="000000"/>
          <w:sz w:val="22"/>
        </w:rPr>
        <w:t>[24] R. Guidotti, A. Monreale, S. Ruggieri, F. Turini, F. Giannotti, and D. Pedreschi, “A survey of methods for explaining black box models,” Information Fusion, vol. 46, pp. 17–44, 2019.</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