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Title,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Table of Contents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Determining Effective Treatment of Cardiovascular Disease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Abstract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Acknowledgements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Introduction/Background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Cardiovascular disease affectsmillions of american’s a year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Many causes and cures for disease affecting the heart and veins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Treating patients become’s difficult at large scale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We can leverage past treatment history into better patient outcomes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database will serve as tool to help doctors treat patients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Also for research purposes to check for historical data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Literature review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Articles will be linked, will clean up and post full titles/refrences later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Gregory A. Roth, George A. Mensah, Valentin Fuster,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The Global Burden of Cardiovascular Diseases and Risks: A Compass for Global Action,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Journal of the American College of Cardiology,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Volume 76, Issue 25,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2020,</w:t>
      </w:r>
    </w:p>
    <w:p w:rsidR="00000000" w:rsidDel="00000000" w:rsidP="00000000" w:rsidRDefault="00000000" w:rsidRPr="00000000" w14:paraId="00000013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Pages 2980-2981,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ISSN 0735-1097,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https://doi.org/10.1016/j.jacc.2020.11.021.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(https://www.sciencedirect.com/science/article/pii/S0735109720378037)Global Burden of CVD, used to determine what the best criteria to measure the progress of the treatment in and the general state of current CVD treatment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Şahin, Bayram, and Gülnur İlgün. "Risk factors of deaths related to cardiovascular diseases in World Health Organization (WHO) member countries."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Health &amp; Social Care in the Community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30.1 (2022): 73-80. For further information regarding how CVD’s are tracked and treated and what metrics work the best for tracking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Kishore, S, Blank, E, Heller, D. et al. Modernizing the World Health Organization List of Essential Medicines for Preventing and Controlling Cardiovascular Diseases. J Am Coll Cardiol. 2018 Feb, 71 (5) 564–574.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https://doi.org/10.1016/j.jacc.2017.11.056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used to get a list of prescription drugs that would be considered for treatment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trike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Petrella, R. J., Lattanzio, C. N., Demeray, A., Varallo, V., &amp; Blore, R. (2005). Can adoption of regular exercise later in life prevent metabolic risk for cardiovascular disease?</w:t>
      </w:r>
      <w:r w:rsidDel="00000000" w:rsidR="00000000" w:rsidRPr="00000000">
        <w:rPr>
          <w:rFonts w:ascii="Times New Roman" w:cs="Times New Roman" w:eastAsia="Times New Roman" w:hAnsi="Times New Roman"/>
          <w:i w:val="1"/>
          <w:strike w:val="1"/>
          <w:sz w:val="27"/>
          <w:szCs w:val="27"/>
          <w:rtl w:val="0"/>
        </w:rPr>
        <w:t xml:space="preserve"> Diabetes Care, 28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(3), 694-701. doi: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trike w:val="1"/>
            <w:color w:val="1155cc"/>
            <w:sz w:val="27"/>
            <w:szCs w:val="27"/>
            <w:u w:val="single"/>
            <w:rtl w:val="0"/>
          </w:rPr>
          <w:t xml:space="preserve">https://doi.org/10.2337/diacare.28.3.694</w:t>
        </w:r>
      </w:hyperlink>
      <w:r w:rsidDel="00000000" w:rsidR="00000000" w:rsidRPr="00000000">
        <w:rPr>
          <w:rFonts w:ascii="Times New Roman" w:cs="Times New Roman" w:eastAsia="Times New Roman" w:hAnsi="Times New Roman"/>
          <w:strike w:val="1"/>
          <w:sz w:val="27"/>
          <w:szCs w:val="27"/>
          <w:rtl w:val="0"/>
        </w:rPr>
        <w:t xml:space="preserve"> used to determine proper treatments of excercise in CVD patients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Problem description and definitions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How can we best store patient data to determine the effectivness of treatment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treatments work best for what groups and situations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What is the best way to present this information to researchers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Methods (Design at every level)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Photo of schema either here or in implementation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Original document and information comes from two places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Patient intake form featuring identifying, demographic, and medical information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Treatment history including info on what treatment was done to what patient for what disease and the results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Input data broken into two main tables, 1 for patient data and one for treatment history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Table patients contains all patient information along with initial medical stats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Table for treatment contains the the treatment, the patient, the length of treatment and the effect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Treatment history decomposed into several different tables with linking foreign keys for each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Treatment history is now 4 columns, patientID, treatmentID, length and Result ID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Instead of a description of the treatment or perscription, a treatment code links to another table that contains all the currently available treatments tied to a code with their name/description, a general category of what kind of treatment, such as excersise, medicine or other procedure, such as a surgical procedure to place a stent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results were also moved into a separate table featuring an id key and percent change for Systolic, diastolic, cholesterol and glucose.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Database of common CVD’s with associated keys added for convience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Each patient is now listed with the codes related to their current condition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This allows us to pull patient treatment history by the associated disease/condition and see what works</w:t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CVd codes link to another table containing the code, the name of the condition, and a column of summon symptoms for reference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E.</w:t>
        <w:tab/>
        <w:t xml:space="preserve">Very little normalization work had to be done following the initial drafting</w:t>
        <w:tab/>
        <w:tab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Implementation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Experimental results and/or use cases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Main intended usecases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Small patient clinic tracking effectiveness of treatment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Researchers studying heart data over time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Reporting and Analytics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Discussion and future work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Further cataloging of patient information such as medical history and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Concluding remarks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References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Gregory A. Roth, George A. Mensah, Valentin Fuster,</w:t>
      </w:r>
    </w:p>
    <w:p w:rsidR="00000000" w:rsidDel="00000000" w:rsidP="00000000" w:rsidRDefault="00000000" w:rsidRPr="00000000" w14:paraId="0000003A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Global Burden of Cardiovascular Diseases and Risks: A Compass for Global Action,</w:t>
      </w:r>
    </w:p>
    <w:p w:rsidR="00000000" w:rsidDel="00000000" w:rsidP="00000000" w:rsidRDefault="00000000" w:rsidRPr="00000000" w14:paraId="0000003B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Journal of the American College of Cardiology,</w:t>
      </w:r>
    </w:p>
    <w:p w:rsidR="00000000" w:rsidDel="00000000" w:rsidP="00000000" w:rsidRDefault="00000000" w:rsidRPr="00000000" w14:paraId="0000003C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Volume 76, Issue 25,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2020,</w:t>
      </w:r>
    </w:p>
    <w:p w:rsidR="00000000" w:rsidDel="00000000" w:rsidP="00000000" w:rsidRDefault="00000000" w:rsidRPr="00000000" w14:paraId="0000003E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Pages 2980-2981,</w:t>
      </w:r>
    </w:p>
    <w:p w:rsidR="00000000" w:rsidDel="00000000" w:rsidP="00000000" w:rsidRDefault="00000000" w:rsidRPr="00000000" w14:paraId="0000003F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ISSN 0735-1097,</w:t>
      </w:r>
    </w:p>
    <w:p w:rsidR="00000000" w:rsidDel="00000000" w:rsidP="00000000" w:rsidRDefault="00000000" w:rsidRPr="00000000" w14:paraId="00000040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https://doi.org/10.1016/j.jacc.2020.11.021.</w:t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https://www.sciencedirect.com/science/article/pii/S0735109720378037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Kishore, S, Blank, E, Heller, D. et al. Modernizing the World Health Organization List of Essential Medicines for Preventing and Controlling Cardiovascular Diseases. J Am Coll Cardiol. 2018 Feb, 71 (5) 564–574.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https://doi.org/10.1016/j.jacc.2017.11.056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Petrella, R. J., Lattanzio, C. N., Demeray, A., Varallo, V., &amp; Blore, R. (2005). Can adoption of regular exercise later in life prevent metabolic risk for cardiovascular disease?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 Diabetes Care, 28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(3), 694-701. doi: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https://doi.org/10.2337/diacare.28.3.694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Şahin, Bayram, and Gülnur İlgün. "Risk factors of deaths related to cardiovascular diseases in World Health Organization (WHO) member countries."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rtl w:val="0"/>
        </w:rPr>
        <w:t xml:space="preserve">Health &amp; Social Care in the Community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 30.1 (2022): 73-80.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https://my.clevelandclinic.org/health/diseases/21493-cardiovascular-disease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10 CVDS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Arrhythmia -abornmal rhythm/rate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Valve disease - tightening or leaking heart valves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Coronary artery disease - blockage in veins/ reduced pressure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Heart failure - fluid buildup, shortness of breath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Peripheral artery disease - narrwoing or blockages of vessels in arms, legs or abdomen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Aortic disease - dilatation, aneurysm, issue with blood vessel from heart to brain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Peridcardial disease - inflamation of the lining of the ehart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Cerebrovascular disease -  strokes, blockages of brain blood passage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Deep vein thrombosis - high blood pressure, issue with blood coming back to the heart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Congenital heart disease - issues with the heart from birth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15 Treatments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Losartan (antihypertensive) - drugs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Spironolactone (heart failure) drugs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NDACs (Anticoagulants) drugs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Bisoprolol (lots) drugs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Amiodarone (Antiarrhythmics drugs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Nicotine Replacement Agents (substance dependence)drugs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Simvastin (cholesterol lowering) drugs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Streptokinase (antithrombotics) drugs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Low Cholesterol Diet - diet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Low Charbohydrate Diet - diet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Light cardiovascular exercise, 2 hours in a day - excersise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Moderate Cardiovascular exercise, 1 hour - excersise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Intense cardiovascular excersise, 1 hour - excersise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Cornonary Stent - surgery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Cornoary Angioplasty - surgery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Links to mayo for data generation info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7"/>
          <w:szCs w:val="27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https://www.mayoclinic.org/diseases-conditions/high-blood-cholesterol/diagnosis-treatment/drc-20350806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7"/>
          <w:szCs w:val="27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https://www.mayoclinic.org/diseases-conditions/diabetes/diagnosis-treatment/drc-20371451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7"/>
          <w:szCs w:val="27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u w:val="single"/>
            <w:rtl w:val="0"/>
          </w:rPr>
          <w:t xml:space="preserve">https://www.mayoclinic.org/diseases-conditions/high-blood-pressure/symptoms-causes/syc-20373410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yoclinic.org/diseases-conditions/high-blood-cholesterol/diagnosis-treatment/drc-20350806" TargetMode="External"/><Relationship Id="rId10" Type="http://schemas.openxmlformats.org/officeDocument/2006/relationships/hyperlink" Target="https://doi.org/10.2337/diacare.28.3.694" TargetMode="External"/><Relationship Id="rId13" Type="http://schemas.openxmlformats.org/officeDocument/2006/relationships/hyperlink" Target="https://www.mayoclinic.org/diseases-conditions/high-blood-pressure/symptoms-causes/syc-20373410" TargetMode="External"/><Relationship Id="rId12" Type="http://schemas.openxmlformats.org/officeDocument/2006/relationships/hyperlink" Target="https://www.mayoclinic.org/diseases-conditions/diabetes/diagnosis-treatment/drc-2037145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16/j.jacc.2017.11.056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016/j.jacc.2017.11.056" TargetMode="External"/><Relationship Id="rId7" Type="http://schemas.openxmlformats.org/officeDocument/2006/relationships/hyperlink" Target="https://doi.org/10.2337/diacare.28.3.694" TargetMode="External"/><Relationship Id="rId8" Type="http://schemas.openxmlformats.org/officeDocument/2006/relationships/hyperlink" Target="https://www.sciencedirect.com/science/article/pii/S07351097203780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