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8F88"/>
          <w:spacing w:val="60"/>
          <w:sz w:val="20"/>
          <w:szCs w:val="20"/>
        </w:rPr>
        <w:t xml:space="preserve">CLICK.N.LIKES</w:t>
      </w:r>
    </w:p>
    <w:p>
      <w:pPr>
        <w:spacing w:after="60"/>
      </w:pPr>
      <w:r>
        <w:rPr>
          <w:b/>
          <w:bCs/>
          <w:color w:val="1A2B4A"/>
          <w:sz w:val="44"/>
          <w:szCs w:val="44"/>
        </w:rPr>
        <w:t xml:space="preserve">Proposal &amp; Statement of Work</w:t>
      </w:r>
    </w:p>
    <w:p>
      <w:pPr>
        <w:pBdr>
          <w:bottom w:val="single" w:color="D8DEE8" w:sz="8" w:space="8"/>
        </w:pBdr>
        <w:spacing w:after="220"/>
      </w:pPr>
      <w:r>
        <w:rPr>
          <w:color w:val="5A6B85"/>
          <w:sz w:val="22"/>
          <w:szCs w:val="22"/>
        </w:rPr>
        <w:t xml:space="preserve">Template — everything commercial lives here, not in the legal agreement</w:t>
      </w:r>
    </w:p>
    <w:p>
      <w:pPr>
        <w:spacing w:after="140" w:line="280"/>
      </w:pPr>
      <w:r>
        <w:rPr>
          <w:b w:val="false"/>
          <w:bCs w:val="false"/>
          <w:i w:val="false"/>
          <w:iCs w:val="false"/>
          <w:color w:val="5A6B85"/>
          <w:sz w:val="21"/>
          <w:szCs w:val="21"/>
        </w:rPr>
        <w:t xml:space="preserve">Proposal reference: ____________________     Date: ____________________     Valid for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6"/>
              <w:left w:val="single" w:color="2C8F88" w:sz="18"/>
              <w:bottom w:val="single" w:color="E0E0E0" w:sz="6"/>
              <w:right w:val="single" w:color="E0E0E0" w:sz="6"/>
            </w:tcBorders>
            <w:shd w:fill="F0F9F8" w:val="clear"/>
            <w:tcMar>
              <w:top w:type="dxa" w:w="160"/>
              <w:left w:type="dxa" w:w="200"/>
              <w:bottom w:type="dxa" w:w="160"/>
              <w:right w:type="dxa" w:w="200"/>
            </w:tcMar>
          </w:tcPr>
          <w:p>
            <w:pPr>
              <w:spacing w:line="280"/>
            </w:pPr>
            <w:r>
              <w:rPr>
                <w:b/>
                <w:bCs/>
                <w:color w:val="2C8F88"/>
                <w:sz w:val="21"/>
                <w:szCs w:val="21"/>
              </w:rPr>
              <w:t xml:space="preserve">HOW TO USE THIS: </w:t>
            </w:r>
            <w:r>
              <w:rPr>
                <w:sz w:val="21"/>
                <w:szCs w:val="21"/>
              </w:rPr>
              <w:t xml:space="preserve">This is the only document that changes per client. Pricing, deliverables, volumes, tiers, term and timelines all live here. The legal terms live in the Master Services Agreement and never need editing when commercial details change. Fill in every row — anything left blank is out of scope.</w:t>
            </w:r>
          </w:p>
        </w:tc>
      </w:tr>
    </w:tbl>
    <w:p>
      <w:pPr>
        <w:pStyle w:val="Heading1"/>
        <w:spacing w:after="150" w:before="340"/>
      </w:pPr>
      <w:r>
        <w:rPr>
          <w:b/>
          <w:bCs/>
          <w:color w:val="1A2B4A"/>
          <w:sz w:val="26"/>
          <w:szCs w:val="26"/>
        </w:rPr>
        <w:t xml:space="preserve">1. The client</w:t>
      </w:r>
    </w:p>
    <w:tbl>
      <w:tblPr>
        <w:tblW w:type="dxa" w:w="9360"/>
        <w:tblBorders>
          <w:top w:val="single" w:color="D8DEE8" w:sz="6"/>
          <w:left w:val="single" w:color="D8DEE8" w:sz="6"/>
          <w:bottom w:val="single" w:color="D8DEE8" w:sz="6"/>
          <w:right w:val="single" w:color="D8DEE8" w:sz="6"/>
          <w:insideH w:val="single" w:color="E6EBF0" w:sz="6"/>
          <w:insideV w:val="single" w:color="E6EBF0" w:sz="6"/>
        </w:tblBorders>
      </w:tblPr>
      <w:tblGrid>
        <w:gridCol w:w="2900"/>
        <w:gridCol w:w="6460"/>
      </w:tblGrid>
      <w:tr>
        <w:tc>
          <w:tcPr>
            <w:tcW w:type="dxa" w:w="2900"/>
            <w:shd w:fill="F2F6F8" w:val="clear"/>
            <w:tcMar>
              <w:top w:type="dxa" w:w="110"/>
              <w:left w:type="dxa" w:w="160"/>
              <w:bottom w:type="dxa" w:w="110"/>
              <w:right w:type="dxa" w:w="160"/>
            </w:tcMar>
          </w:tcPr>
          <w:p>
            <w:r>
              <w:rPr>
                <w:b/>
                <w:bCs/>
                <w:color w:val="1A2B4A"/>
                <w:sz w:val="21"/>
                <w:szCs w:val="21"/>
              </w:rPr>
              <w:t xml:space="preserve">Client name</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Contact &amp; email</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Billing address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Single approver</w:t>
            </w:r>
          </w:p>
        </w:tc>
        <w:tc>
          <w:tcPr>
            <w:tcW w:type="dxa" w:w="6460"/>
            <w:tcMar>
              <w:top w:type="dxa" w:w="110"/>
              <w:left w:type="dxa" w:w="160"/>
              <w:bottom w:type="dxa" w:w="110"/>
              <w:right w:type="dxa" w:w="160"/>
            </w:tcMar>
          </w:tcPr>
          <w:p>
            <w:r>
              <w:rPr>
                <w:i/>
                <w:iCs/>
                <w:color w:val="8A97A8"/>
                <w:sz w:val="21"/>
                <w:szCs w:val="21"/>
              </w:rPr>
              <w:t xml:space="preserve">Name of the person authorised to give approvals</w:t>
            </w:r>
          </w:p>
        </w:tc>
      </w:tr>
    </w:tbl>
    <w:p>
      <w:pPr>
        <w:pStyle w:val="Heading1"/>
        <w:spacing w:after="150" w:before="340"/>
      </w:pPr>
      <w:r>
        <w:rPr>
          <w:b/>
          <w:bCs/>
          <w:color w:val="1A2B4A"/>
          <w:sz w:val="26"/>
          <w:szCs w:val="26"/>
        </w:rPr>
        <w:t xml:space="preserve">2. Services and tier</w:t>
      </w:r>
    </w:p>
    <w:p>
      <w:pPr>
        <w:spacing w:after="140" w:line="280"/>
      </w:pPr>
      <w:r>
        <w:rPr>
          <w:b w:val="false"/>
          <w:bCs w:val="false"/>
          <w:i w:val="false"/>
          <w:iCs w:val="false"/>
          <w:color w:val="222222"/>
          <w:sz w:val="21"/>
          <w:szCs w:val="21"/>
        </w:rPr>
        <w:t xml:space="preserve">Tick every service engaged and state the tier. Anything not listed here is out of scope.</w:t>
      </w:r>
    </w:p>
    <w:tbl>
      <w:tblPr>
        <w:tblW w:type="dxa" w:w="9360"/>
        <w:tblBorders>
          <w:top w:val="single" w:color="D8DEE8" w:sz="6"/>
          <w:left w:val="single" w:color="D8DEE8" w:sz="6"/>
          <w:bottom w:val="single" w:color="D8DEE8" w:sz="6"/>
          <w:right w:val="single" w:color="D8DEE8" w:sz="6"/>
          <w:insideH w:val="single" w:color="E6EBF0" w:sz="6"/>
          <w:insideV w:val="single" w:color="E6EBF0" w:sz="6"/>
        </w:tblBorders>
      </w:tblPr>
      <w:tblGrid>
        <w:gridCol w:w="2900"/>
        <w:gridCol w:w="6460"/>
      </w:tblGrid>
      <w:tr>
        <w:tc>
          <w:tcPr>
            <w:tcW w:type="dxa" w:w="2900"/>
            <w:shd w:fill="F2F6F8" w:val="clear"/>
            <w:tcMar>
              <w:top w:type="dxa" w:w="110"/>
              <w:left w:type="dxa" w:w="160"/>
              <w:bottom w:type="dxa" w:w="110"/>
              <w:right w:type="dxa" w:w="160"/>
            </w:tcMar>
          </w:tcPr>
          <w:p>
            <w:r>
              <w:rPr>
                <w:b/>
                <w:bCs/>
                <w:color w:val="1A2B4A"/>
                <w:sz w:val="21"/>
                <w:szCs w:val="21"/>
              </w:rPr>
              <w:t xml:space="preserve">SEO (Organic &amp; On-Page)</w:t>
            </w:r>
          </w:p>
        </w:tc>
        <w:tc>
          <w:tcPr>
            <w:tcW w:type="dxa" w:w="6460"/>
            <w:tcMar>
              <w:top w:type="dxa" w:w="110"/>
              <w:left w:type="dxa" w:w="160"/>
              <w:bottom w:type="dxa" w:w="110"/>
              <w:right w:type="dxa" w:w="160"/>
            </w:tcMar>
          </w:tcPr>
          <w:p>
            <w:r>
              <w:rPr>
                <w:i/>
                <w:iCs/>
                <w:color w:val="8A97A8"/>
                <w:sz w:val="21"/>
                <w:szCs w:val="21"/>
              </w:rPr>
              <w:t xml:space="preserve">Tier:            /  not engaged</w:t>
            </w:r>
          </w:p>
        </w:tc>
      </w:tr>
      <w:tr>
        <w:tc>
          <w:tcPr>
            <w:tcW w:type="dxa" w:w="2900"/>
            <w:shd w:fill="F2F6F8" w:val="clear"/>
            <w:tcMar>
              <w:top w:type="dxa" w:w="110"/>
              <w:left w:type="dxa" w:w="160"/>
              <w:bottom w:type="dxa" w:w="110"/>
              <w:right w:type="dxa" w:w="160"/>
            </w:tcMar>
          </w:tcPr>
          <w:p>
            <w:r>
              <w:rPr>
                <w:b/>
                <w:bCs/>
                <w:color w:val="1A2B4A"/>
                <w:sz w:val="21"/>
                <w:szCs w:val="21"/>
              </w:rPr>
              <w:t xml:space="preserve">Local SEO &amp; GBP</w:t>
            </w:r>
          </w:p>
        </w:tc>
        <w:tc>
          <w:tcPr>
            <w:tcW w:type="dxa" w:w="6460"/>
            <w:tcMar>
              <w:top w:type="dxa" w:w="110"/>
              <w:left w:type="dxa" w:w="160"/>
              <w:bottom w:type="dxa" w:w="110"/>
              <w:right w:type="dxa" w:w="160"/>
            </w:tcMar>
          </w:tcPr>
          <w:p>
            <w:r>
              <w:rPr>
                <w:i/>
                <w:iCs/>
                <w:color w:val="8A97A8"/>
                <w:sz w:val="21"/>
                <w:szCs w:val="21"/>
              </w:rPr>
              <w:t xml:space="preserve">Tier:            /  not engaged</w:t>
            </w:r>
          </w:p>
        </w:tc>
      </w:tr>
      <w:tr>
        <w:tc>
          <w:tcPr>
            <w:tcW w:type="dxa" w:w="2900"/>
            <w:shd w:fill="F2F6F8" w:val="clear"/>
            <w:tcMar>
              <w:top w:type="dxa" w:w="110"/>
              <w:left w:type="dxa" w:w="160"/>
              <w:bottom w:type="dxa" w:w="110"/>
              <w:right w:type="dxa" w:w="160"/>
            </w:tcMar>
          </w:tcPr>
          <w:p>
            <w:r>
              <w:rPr>
                <w:b/>
                <w:bCs/>
                <w:color w:val="1A2B4A"/>
                <w:sz w:val="21"/>
                <w:szCs w:val="21"/>
              </w:rPr>
              <w:t xml:space="preserve">AI SEO &amp; AI Overviews</w:t>
            </w:r>
          </w:p>
        </w:tc>
        <w:tc>
          <w:tcPr>
            <w:tcW w:type="dxa" w:w="6460"/>
            <w:tcMar>
              <w:top w:type="dxa" w:w="110"/>
              <w:left w:type="dxa" w:w="160"/>
              <w:bottom w:type="dxa" w:w="110"/>
              <w:right w:type="dxa" w:w="160"/>
            </w:tcMar>
          </w:tcPr>
          <w:p>
            <w:r>
              <w:rPr>
                <w:i/>
                <w:iCs/>
                <w:color w:val="8A97A8"/>
                <w:sz w:val="21"/>
                <w:szCs w:val="21"/>
              </w:rPr>
              <w:t xml:space="preserve">Tier:            /  not engaged</w:t>
            </w:r>
          </w:p>
        </w:tc>
      </w:tr>
      <w:tr>
        <w:tc>
          <w:tcPr>
            <w:tcW w:type="dxa" w:w="2900"/>
            <w:shd w:fill="F2F6F8" w:val="clear"/>
            <w:tcMar>
              <w:top w:type="dxa" w:w="110"/>
              <w:left w:type="dxa" w:w="160"/>
              <w:bottom w:type="dxa" w:w="110"/>
              <w:right w:type="dxa" w:w="160"/>
            </w:tcMar>
          </w:tcPr>
          <w:p>
            <w:r>
              <w:rPr>
                <w:b/>
                <w:bCs/>
                <w:color w:val="1A2B4A"/>
                <w:sz w:val="21"/>
                <w:szCs w:val="21"/>
              </w:rPr>
              <w:t xml:space="preserve">Social Media Growth</w:t>
            </w:r>
          </w:p>
        </w:tc>
        <w:tc>
          <w:tcPr>
            <w:tcW w:type="dxa" w:w="6460"/>
            <w:tcMar>
              <w:top w:type="dxa" w:w="110"/>
              <w:left w:type="dxa" w:w="160"/>
              <w:bottom w:type="dxa" w:w="110"/>
              <w:right w:type="dxa" w:w="160"/>
            </w:tcMar>
          </w:tcPr>
          <w:p>
            <w:r>
              <w:rPr>
                <w:i/>
                <w:iCs/>
                <w:color w:val="8A97A8"/>
                <w:sz w:val="21"/>
                <w:szCs w:val="21"/>
              </w:rPr>
              <w:t xml:space="preserve">Tier:            /  not engaged</w:t>
            </w:r>
          </w:p>
        </w:tc>
      </w:tr>
      <w:tr>
        <w:tc>
          <w:tcPr>
            <w:tcW w:type="dxa" w:w="2900"/>
            <w:shd w:fill="F2F6F8" w:val="clear"/>
            <w:tcMar>
              <w:top w:type="dxa" w:w="110"/>
              <w:left w:type="dxa" w:w="160"/>
              <w:bottom w:type="dxa" w:w="110"/>
              <w:right w:type="dxa" w:w="160"/>
            </w:tcMar>
          </w:tcPr>
          <w:p>
            <w:r>
              <w:rPr>
                <w:b/>
                <w:bCs/>
                <w:color w:val="1A2B4A"/>
                <w:sz w:val="21"/>
                <w:szCs w:val="21"/>
              </w:rPr>
              <w:t xml:space="preserve">Content Marketing</w:t>
            </w:r>
          </w:p>
        </w:tc>
        <w:tc>
          <w:tcPr>
            <w:tcW w:type="dxa" w:w="6460"/>
            <w:tcMar>
              <w:top w:type="dxa" w:w="110"/>
              <w:left w:type="dxa" w:w="160"/>
              <w:bottom w:type="dxa" w:w="110"/>
              <w:right w:type="dxa" w:w="160"/>
            </w:tcMar>
          </w:tcPr>
          <w:p>
            <w:r>
              <w:rPr>
                <w:i/>
                <w:iCs/>
                <w:color w:val="8A97A8"/>
                <w:sz w:val="21"/>
                <w:szCs w:val="21"/>
              </w:rPr>
              <w:t xml:space="preserve">Tier:            /  not engaged</w:t>
            </w:r>
          </w:p>
        </w:tc>
      </w:tr>
      <w:tr>
        <w:tc>
          <w:tcPr>
            <w:tcW w:type="dxa" w:w="2900"/>
            <w:shd w:fill="F2F6F8" w:val="clear"/>
            <w:tcMar>
              <w:top w:type="dxa" w:w="110"/>
              <w:left w:type="dxa" w:w="160"/>
              <w:bottom w:type="dxa" w:w="110"/>
              <w:right w:type="dxa" w:w="160"/>
            </w:tcMar>
          </w:tcPr>
          <w:p>
            <w:r>
              <w:rPr>
                <w:b/>
                <w:bCs/>
                <w:color w:val="1A2B4A"/>
                <w:sz w:val="21"/>
                <w:szCs w:val="21"/>
              </w:rPr>
              <w:t xml:space="preserve">Website Development</w:t>
            </w:r>
          </w:p>
        </w:tc>
        <w:tc>
          <w:tcPr>
            <w:tcW w:type="dxa" w:w="6460"/>
            <w:tcMar>
              <w:top w:type="dxa" w:w="110"/>
              <w:left w:type="dxa" w:w="160"/>
              <w:bottom w:type="dxa" w:w="110"/>
              <w:right w:type="dxa" w:w="160"/>
            </w:tcMar>
          </w:tcPr>
          <w:p>
            <w:r>
              <w:rPr>
                <w:i/>
                <w:iCs/>
                <w:color w:val="8A97A8"/>
                <w:sz w:val="21"/>
                <w:szCs w:val="21"/>
              </w:rPr>
              <w:t xml:space="preserve">Tier / pages:            /  not engaged</w:t>
            </w:r>
          </w:p>
        </w:tc>
      </w:tr>
      <w:tr>
        <w:tc>
          <w:tcPr>
            <w:tcW w:type="dxa" w:w="2900"/>
            <w:shd w:fill="F2F6F8" w:val="clear"/>
            <w:tcMar>
              <w:top w:type="dxa" w:w="110"/>
              <w:left w:type="dxa" w:w="160"/>
              <w:bottom w:type="dxa" w:w="110"/>
              <w:right w:type="dxa" w:w="160"/>
            </w:tcMar>
          </w:tcPr>
          <w:p>
            <w:r>
              <w:rPr>
                <w:b/>
                <w:bCs/>
                <w:color w:val="1A2B4A"/>
                <w:sz w:val="21"/>
                <w:szCs w:val="21"/>
              </w:rPr>
              <w:t xml:space="preserve">Paid Campaigns</w:t>
            </w:r>
          </w:p>
        </w:tc>
        <w:tc>
          <w:tcPr>
            <w:tcW w:type="dxa" w:w="6460"/>
            <w:tcMar>
              <w:top w:type="dxa" w:w="110"/>
              <w:left w:type="dxa" w:w="160"/>
              <w:bottom w:type="dxa" w:w="110"/>
              <w:right w:type="dxa" w:w="160"/>
            </w:tcMar>
          </w:tcPr>
          <w:p>
            <w:r>
              <w:rPr>
                <w:i/>
                <w:iCs/>
                <w:color w:val="8A97A8"/>
                <w:sz w:val="21"/>
                <w:szCs w:val="21"/>
              </w:rPr>
              <w:t xml:space="preserve">Tier:            /  not engaged</w:t>
            </w:r>
          </w:p>
        </w:tc>
      </w:tr>
    </w:tbl>
    <w:p>
      <w:pPr>
        <w:pStyle w:val="Heading1"/>
        <w:spacing w:after="150" w:before="340"/>
      </w:pPr>
      <w:r>
        <w:rPr>
          <w:b/>
          <w:bCs/>
          <w:color w:val="1A2B4A"/>
          <w:sz w:val="26"/>
          <w:szCs w:val="26"/>
        </w:rPr>
        <w:t xml:space="preserve">3. Included volumes per month</w:t>
      </w:r>
    </w:p>
    <w:p>
      <w:pPr>
        <w:spacing w:after="140" w:line="280"/>
      </w:pPr>
      <w:r>
        <w:rPr>
          <w:b w:val="false"/>
          <w:bCs w:val="false"/>
          <w:i w:val="false"/>
          <w:iCs w:val="false"/>
          <w:color w:val="222222"/>
          <w:sz w:val="21"/>
          <w:szCs w:val="21"/>
        </w:rPr>
        <w:t xml:space="preserve">These are the ceilings for each billing month. Volumes do not roll over.</w:t>
      </w:r>
    </w:p>
    <w:tbl>
      <w:tblPr>
        <w:tblW w:type="dxa" w:w="9360"/>
        <w:tblBorders>
          <w:top w:val="single" w:color="D8DEE8" w:sz="6"/>
          <w:left w:val="single" w:color="D8DEE8" w:sz="6"/>
          <w:bottom w:val="single" w:color="D8DEE8" w:sz="6"/>
          <w:right w:val="single" w:color="D8DEE8" w:sz="6"/>
          <w:insideH w:val="single" w:color="E6EBF0" w:sz="6"/>
          <w:insideV w:val="single" w:color="E6EBF0" w:sz="6"/>
        </w:tblBorders>
      </w:tblPr>
      <w:tblGrid>
        <w:gridCol w:w="2900"/>
        <w:gridCol w:w="6460"/>
      </w:tblGrid>
      <w:tr>
        <w:tc>
          <w:tcPr>
            <w:tcW w:type="dxa" w:w="2900"/>
            <w:shd w:fill="F2F6F8" w:val="clear"/>
            <w:tcMar>
              <w:top w:type="dxa" w:w="110"/>
              <w:left w:type="dxa" w:w="160"/>
              <w:bottom w:type="dxa" w:w="110"/>
              <w:right w:type="dxa" w:w="160"/>
            </w:tcMar>
          </w:tcPr>
          <w:p>
            <w:r>
              <w:rPr>
                <w:b/>
                <w:bCs/>
                <w:color w:val="1A2B4A"/>
                <w:sz w:val="21"/>
                <w:szCs w:val="21"/>
              </w:rPr>
              <w:t xml:space="preserve">Keywords tracked</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Blog posts / articles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Guest posts / backlinks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GBP posts / citations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Social posts (feed + reels)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Campaigns / ad creatives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Website pages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Revision rounds</w:t>
            </w:r>
          </w:p>
        </w:tc>
        <w:tc>
          <w:tcPr>
            <w:tcW w:type="dxa" w:w="6460"/>
            <w:tcMar>
              <w:top w:type="dxa" w:w="110"/>
              <w:left w:type="dxa" w:w="160"/>
              <w:bottom w:type="dxa" w:w="110"/>
              <w:right w:type="dxa" w:w="160"/>
            </w:tcMar>
          </w:tcPr>
          <w:p>
            <w:r>
              <w:rPr>
                <w:i/>
                <w:iCs/>
                <w:color w:val="8A97A8"/>
                <w:sz w:val="21"/>
                <w:szCs w:val="21"/>
              </w:rPr>
              <w:t xml:space="preserve">e.g. 2 rounds per deliverable</w:t>
            </w:r>
          </w:p>
        </w:tc>
      </w:tr>
    </w:tbl>
    <w:p>
      <w:pPr>
        <w:pStyle w:val="Heading1"/>
        <w:spacing w:after="150" w:before="340"/>
      </w:pPr>
      <w:r>
        <w:rPr>
          <w:b/>
          <w:bCs/>
          <w:color w:val="1A2B4A"/>
          <w:sz w:val="26"/>
          <w:szCs w:val="26"/>
        </w:rPr>
        <w:t xml:space="preserve">4. Commercial terms</w:t>
      </w:r>
    </w:p>
    <w:tbl>
      <w:tblPr>
        <w:tblW w:type="dxa" w:w="9360"/>
        <w:tblBorders>
          <w:top w:val="single" w:color="D8DEE8" w:sz="6"/>
          <w:left w:val="single" w:color="D8DEE8" w:sz="6"/>
          <w:bottom w:val="single" w:color="D8DEE8" w:sz="6"/>
          <w:right w:val="single" w:color="D8DEE8" w:sz="6"/>
          <w:insideH w:val="single" w:color="E6EBF0" w:sz="6"/>
          <w:insideV w:val="single" w:color="E6EBF0" w:sz="6"/>
        </w:tblBorders>
      </w:tblPr>
      <w:tblGrid>
        <w:gridCol w:w="2900"/>
        <w:gridCol w:w="6460"/>
      </w:tblGrid>
      <w:tr>
        <w:tc>
          <w:tcPr>
            <w:tcW w:type="dxa" w:w="2900"/>
            <w:shd w:fill="F2F6F8" w:val="clear"/>
            <w:tcMar>
              <w:top w:type="dxa" w:w="110"/>
              <w:left w:type="dxa" w:w="160"/>
              <w:bottom w:type="dxa" w:w="110"/>
              <w:right w:type="dxa" w:w="160"/>
            </w:tcMar>
          </w:tcPr>
          <w:p>
            <w:r>
              <w:rPr>
                <w:b/>
                <w:bCs/>
                <w:color w:val="1A2B4A"/>
                <w:sz w:val="21"/>
                <w:szCs w:val="21"/>
              </w:rPr>
              <w:t xml:space="preserve">Term</w:t>
            </w:r>
          </w:p>
        </w:tc>
        <w:tc>
          <w:tcPr>
            <w:tcW w:type="dxa" w:w="6460"/>
            <w:tcMar>
              <w:top w:type="dxa" w:w="110"/>
              <w:left w:type="dxa" w:w="160"/>
              <w:bottom w:type="dxa" w:w="110"/>
              <w:right w:type="dxa" w:w="160"/>
            </w:tcMar>
          </w:tcPr>
          <w:p>
            <w:r>
              <w:rPr>
                <w:i/>
                <w:iCs/>
                <w:color w:val="8A97A8"/>
                <w:sz w:val="21"/>
                <w:szCs w:val="21"/>
              </w:rPr>
              <w:t xml:space="preserve">1 / 3 / 6 / 12 months</w:t>
            </w:r>
          </w:p>
        </w:tc>
      </w:tr>
      <w:tr>
        <w:tc>
          <w:tcPr>
            <w:tcW w:type="dxa" w:w="2900"/>
            <w:shd w:fill="F2F6F8" w:val="clear"/>
            <w:tcMar>
              <w:top w:type="dxa" w:w="110"/>
              <w:left w:type="dxa" w:w="160"/>
              <w:bottom w:type="dxa" w:w="110"/>
              <w:right w:type="dxa" w:w="160"/>
            </w:tcMar>
          </w:tcPr>
          <w:p>
            <w:r>
              <w:rPr>
                <w:b/>
                <w:bCs/>
                <w:color w:val="1A2B4A"/>
                <w:sz w:val="21"/>
                <w:szCs w:val="21"/>
              </w:rPr>
              <w:t xml:space="preserve">Commencement date</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Monthly fee</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Multi-service discount</w:t>
            </w:r>
          </w:p>
        </w:tc>
        <w:tc>
          <w:tcPr>
            <w:tcW w:type="dxa" w:w="6460"/>
            <w:tcMar>
              <w:top w:type="dxa" w:w="110"/>
              <w:left w:type="dxa" w:w="160"/>
              <w:bottom w:type="dxa" w:w="110"/>
              <w:right w:type="dxa" w:w="160"/>
            </w:tcMar>
          </w:tcPr>
          <w:p>
            <w:r>
              <w:rPr>
                <w:i/>
                <w:iCs/>
                <w:color w:val="8A97A8"/>
                <w:sz w:val="21"/>
                <w:szCs w:val="21"/>
              </w:rPr>
              <w:t xml:space="preserve">15% where two or more services run together — applied / not applicable</w:t>
            </w:r>
          </w:p>
        </w:tc>
      </w:tr>
      <w:tr>
        <w:tc>
          <w:tcPr>
            <w:tcW w:type="dxa" w:w="2900"/>
            <w:shd w:fill="F2F6F8" w:val="clear"/>
            <w:tcMar>
              <w:top w:type="dxa" w:w="110"/>
              <w:left w:type="dxa" w:w="160"/>
              <w:bottom w:type="dxa" w:w="110"/>
              <w:right w:type="dxa" w:w="160"/>
            </w:tcMar>
          </w:tcPr>
          <w:p>
            <w:r>
              <w:rPr>
                <w:b/>
                <w:bCs/>
                <w:color w:val="1A2B4A"/>
                <w:sz w:val="21"/>
                <w:szCs w:val="21"/>
              </w:rPr>
              <w:t xml:space="preserve">Complimentary months</w:t>
            </w:r>
          </w:p>
        </w:tc>
        <w:tc>
          <w:tcPr>
            <w:tcW w:type="dxa" w:w="6460"/>
            <w:tcMar>
              <w:top w:type="dxa" w:w="110"/>
              <w:left w:type="dxa" w:w="160"/>
              <w:bottom w:type="dxa" w:w="110"/>
              <w:right w:type="dxa" w:w="160"/>
            </w:tcMar>
          </w:tcPr>
          <w:p>
            <w:r>
              <w:rPr>
                <w:i/>
                <w:iCs/>
                <w:color w:val="8A97A8"/>
                <w:sz w:val="21"/>
                <w:szCs w:val="21"/>
              </w:rPr>
              <w:t xml:space="preserve">6-month term: pay 5, receive 6.  12-month term: pay 10, receive 12.</w:t>
            </w:r>
          </w:p>
        </w:tc>
      </w:tr>
      <w:tr>
        <w:tc>
          <w:tcPr>
            <w:tcW w:type="dxa" w:w="2900"/>
            <w:shd w:fill="F2F6F8" w:val="clear"/>
            <w:tcMar>
              <w:top w:type="dxa" w:w="110"/>
              <w:left w:type="dxa" w:w="160"/>
              <w:bottom w:type="dxa" w:w="110"/>
              <w:right w:type="dxa" w:w="160"/>
            </w:tcMar>
          </w:tcPr>
          <w:p>
            <w:r>
              <w:rPr>
                <w:b/>
                <w:bCs/>
                <w:color w:val="1A2B4A"/>
                <w:sz w:val="21"/>
                <w:szCs w:val="21"/>
              </w:rPr>
              <w:t xml:space="preserve">Total payable now</w:t>
            </w:r>
          </w:p>
        </w:tc>
        <w:tc>
          <w:tcPr>
            <w:tcW w:type="dxa" w:w="6460"/>
            <w:tcMar>
              <w:top w:type="dxa" w:w="110"/>
              <w:left w:type="dxa" w:w="160"/>
              <w:bottom w:type="dxa" w:w="110"/>
              <w:right w:type="dxa" w:w="160"/>
            </w:tcMar>
          </w:tcPr>
          <w:p>
            <w:r>
              <w:rPr>
                <w:i/>
                <w:iCs/>
                <w:color w:val="8A97A8"/>
                <w:sz w:val="21"/>
                <w:szCs w:val="21"/>
              </w:rPr>
              <w:t xml:space="preserve">The chargeable months of the term, invoiced once in advance</w:t>
            </w:r>
          </w:p>
        </w:tc>
      </w:tr>
      <w:tr>
        <w:tc>
          <w:tcPr>
            <w:tcW w:type="dxa" w:w="2900"/>
            <w:shd w:fill="F2F6F8" w:val="clear"/>
            <w:tcMar>
              <w:top w:type="dxa" w:w="110"/>
              <w:left w:type="dxa" w:w="160"/>
              <w:bottom w:type="dxa" w:w="110"/>
              <w:right w:type="dxa" w:w="160"/>
            </w:tcMar>
          </w:tcPr>
          <w:p>
            <w:r>
              <w:rPr>
                <w:b/>
                <w:bCs/>
                <w:color w:val="1A2B4A"/>
                <w:sz w:val="21"/>
                <w:szCs w:val="21"/>
              </w:rPr>
              <w:t xml:space="preserve">One-time project fee</w:t>
            </w:r>
          </w:p>
        </w:tc>
        <w:tc>
          <w:tcPr>
            <w:tcW w:type="dxa" w:w="6460"/>
            <w:tcMar>
              <w:top w:type="dxa" w:w="110"/>
              <w:left w:type="dxa" w:w="160"/>
              <w:bottom w:type="dxa" w:w="110"/>
              <w:right w:type="dxa" w:w="160"/>
            </w:tcMar>
          </w:tcPr>
          <w:p>
            <w:r>
              <w:rPr>
                <w:i/>
                <w:iCs/>
                <w:color w:val="8A97A8"/>
                <w:sz w:val="21"/>
                <w:szCs w:val="21"/>
              </w:rPr>
              <w:t xml:space="preserve">50% to commence, 50% on delivery</w:t>
            </w:r>
          </w:p>
        </w:tc>
      </w:tr>
      <w:tr>
        <w:tc>
          <w:tcPr>
            <w:tcW w:type="dxa" w:w="2900"/>
            <w:shd w:fill="F2F6F8" w:val="clear"/>
            <w:tcMar>
              <w:top w:type="dxa" w:w="110"/>
              <w:left w:type="dxa" w:w="160"/>
              <w:bottom w:type="dxa" w:w="110"/>
              <w:right w:type="dxa" w:w="160"/>
            </w:tcMar>
          </w:tcPr>
          <w:p>
            <w:r>
              <w:rPr>
                <w:b/>
                <w:bCs/>
                <w:color w:val="1A2B4A"/>
                <w:sz w:val="21"/>
                <w:szCs w:val="21"/>
              </w:rPr>
              <w:t xml:space="preserve">Currency</w:t>
            </w:r>
          </w:p>
        </w:tc>
        <w:tc>
          <w:tcPr>
            <w:tcW w:type="dxa" w:w="6460"/>
            <w:tcMar>
              <w:top w:type="dxa" w:w="110"/>
              <w:left w:type="dxa" w:w="160"/>
              <w:bottom w:type="dxa" w:w="110"/>
              <w:right w:type="dxa" w:w="160"/>
            </w:tcMar>
          </w:tcPr>
          <w:p>
            <w:r>
              <w:rPr>
                <w:i/>
                <w:iCs/>
                <w:color w:val="8A97A8"/>
                <w:sz w:val="21"/>
                <w:szCs w:val="21"/>
              </w:rPr>
              <w:t xml:space="preserve">Base currency INR unless stated</w:t>
            </w:r>
          </w:p>
        </w:tc>
      </w:tr>
      <w:tr>
        <w:tc>
          <w:tcPr>
            <w:tcW w:type="dxa" w:w="2900"/>
            <w:shd w:fill="F2F6F8" w:val="clear"/>
            <w:tcMar>
              <w:top w:type="dxa" w:w="110"/>
              <w:left w:type="dxa" w:w="160"/>
              <w:bottom w:type="dxa" w:w="110"/>
              <w:right w:type="dxa" w:w="160"/>
            </w:tcMar>
          </w:tcPr>
          <w:p>
            <w:r>
              <w:rPr>
                <w:b/>
                <w:bCs/>
                <w:color w:val="1A2B4A"/>
                <w:sz w:val="21"/>
                <w:szCs w:val="21"/>
              </w:rPr>
              <w:t xml:space="preserve">Taxes</w:t>
            </w:r>
          </w:p>
        </w:tc>
        <w:tc>
          <w:tcPr>
            <w:tcW w:type="dxa" w:w="6460"/>
            <w:tcMar>
              <w:top w:type="dxa" w:w="110"/>
              <w:left w:type="dxa" w:w="160"/>
              <w:bottom w:type="dxa" w:w="110"/>
              <w:right w:type="dxa" w:w="160"/>
            </w:tcMar>
          </w:tcPr>
          <w:p>
            <w:r>
              <w:rPr>
                <w:i/>
                <w:iCs/>
                <w:color w:val="8A97A8"/>
                <w:sz w:val="21"/>
                <w:szCs w:val="21"/>
              </w:rPr>
              <w:t xml:space="preserve">Fees exclusive of tax. GST not charged — not currently registered.</w:t>
            </w:r>
          </w:p>
        </w:tc>
      </w:tr>
    </w:tbl>
    <w:p>
      <w:pPr>
        <w:pStyle w:val="Heading1"/>
        <w:spacing w:after="150" w:before="340"/>
      </w:pPr>
      <w:r>
        <w:rPr>
          <w:b/>
          <w:bCs/>
          <w:color w:val="1A2B4A"/>
          <w:sz w:val="26"/>
          <w:szCs w:val="26"/>
        </w:rPr>
        <w:t xml:space="preserve">5. Costs the client pays directly</w:t>
      </w:r>
    </w:p>
    <w:p>
      <w:pPr>
        <w:spacing w:after="140" w:line="280"/>
      </w:pPr>
      <w:r>
        <w:rPr>
          <w:b w:val="false"/>
          <w:bCs w:val="false"/>
          <w:i w:val="false"/>
          <w:iCs w:val="false"/>
          <w:color w:val="222222"/>
          <w:sz w:val="21"/>
          <w:szCs w:val="21"/>
        </w:rPr>
        <w:t xml:space="preserve">These are never routed through us and are not included in the fees above:</w:t>
      </w:r>
    </w:p>
    <w:p>
      <w:pPr>
        <w:pStyle w:val="ListParagraph"/>
        <w:numPr>
          <w:ilvl w:val="0"/>
          <w:numId w:val="2"/>
        </w:numPr>
        <w:spacing w:after="80" w:line="280"/>
      </w:pPr>
      <w:r>
        <w:rPr>
          <w:sz w:val="21"/>
          <w:szCs w:val="21"/>
        </w:rPr>
        <w:t xml:space="preserve">Advertising spend — charged by the platform to your own card</w:t>
      </w:r>
    </w:p>
    <w:p>
      <w:pPr>
        <w:pStyle w:val="ListParagraph"/>
        <w:numPr>
          <w:ilvl w:val="0"/>
          <w:numId w:val="2"/>
        </w:numPr>
        <w:spacing w:after="80" w:line="280"/>
      </w:pPr>
      <w:r>
        <w:rPr>
          <w:sz w:val="21"/>
          <w:szCs w:val="21"/>
        </w:rPr>
        <w:t xml:space="preserve">Domain, hosting, and any CMS or plugin licences — bought in your own name</w:t>
      </w:r>
    </w:p>
    <w:p>
      <w:pPr>
        <w:pStyle w:val="ListParagraph"/>
        <w:numPr>
          <w:ilvl w:val="0"/>
          <w:numId w:val="2"/>
        </w:numPr>
        <w:spacing w:after="80" w:line="280"/>
      </w:pPr>
      <w:r>
        <w:rPr>
          <w:sz w:val="21"/>
          <w:szCs w:val="21"/>
        </w:rPr>
        <w:t xml:space="preserve">Premium stock, fonts or third-party tools — only with your approval</w:t>
      </w:r>
    </w:p>
    <w:p>
      <w:pPr>
        <w:pStyle w:val="ListParagraph"/>
        <w:numPr>
          <w:ilvl w:val="0"/>
          <w:numId w:val="2"/>
        </w:numPr>
        <w:spacing w:after="80" w:line="280"/>
      </w:pPr>
      <w:r>
        <w:rPr>
          <w:sz w:val="21"/>
          <w:szCs w:val="21"/>
        </w:rPr>
        <w:t xml:space="preserve">Photo and video shoot production — arranged via our shoot partner, billed separately</w:t>
      </w:r>
    </w:p>
    <w:tbl>
      <w:tblPr>
        <w:tblW w:type="dxa" w:w="9360"/>
        <w:tblBorders>
          <w:top w:val="single" w:color="D8DEE8" w:sz="6"/>
          <w:left w:val="single" w:color="D8DEE8" w:sz="6"/>
          <w:bottom w:val="single" w:color="D8DEE8" w:sz="6"/>
          <w:right w:val="single" w:color="D8DEE8" w:sz="6"/>
          <w:insideH w:val="single" w:color="E6EBF0" w:sz="6"/>
          <w:insideV w:val="single" w:color="E6EBF0" w:sz="6"/>
        </w:tblBorders>
      </w:tblPr>
      <w:tblGrid>
        <w:gridCol w:w="2900"/>
        <w:gridCol w:w="6460"/>
      </w:tblGrid>
      <w:tr>
        <w:tc>
          <w:tcPr>
            <w:tcW w:type="dxa" w:w="2900"/>
            <w:shd w:fill="F2F6F8" w:val="clear"/>
            <w:tcMar>
              <w:top w:type="dxa" w:w="110"/>
              <w:left w:type="dxa" w:w="160"/>
              <w:bottom w:type="dxa" w:w="110"/>
              <w:right w:type="dxa" w:w="160"/>
            </w:tcMar>
          </w:tcPr>
          <w:p>
            <w:r>
              <w:rPr>
                <w:b/>
                <w:bCs/>
                <w:color w:val="1A2B4A"/>
                <w:sz w:val="21"/>
                <w:szCs w:val="21"/>
              </w:rPr>
              <w:t xml:space="preserve">Estimated monthly ad budget</w:t>
            </w:r>
          </w:p>
        </w:tc>
        <w:tc>
          <w:tcPr>
            <w:tcW w:type="dxa" w:w="6460"/>
            <w:tcMar>
              <w:top w:type="dxa" w:w="110"/>
              <w:left w:type="dxa" w:w="160"/>
              <w:bottom w:type="dxa" w:w="110"/>
              <w:right w:type="dxa" w:w="160"/>
            </w:tcMar>
          </w:tcPr>
          <w:p>
            <w:r>
              <w:rPr>
                <w:i/>
                <w:iCs/>
                <w:color w:val="8A97A8"/>
                <w:sz w:val="21"/>
                <w:szCs w:val="21"/>
              </w:rPr>
              <w:t xml:space="preserve">Client-paid, for planning only</w:t>
            </w:r>
          </w:p>
        </w:tc>
      </w:tr>
    </w:tbl>
    <w:p>
      <w:pPr>
        <w:pStyle w:val="Heading1"/>
        <w:spacing w:after="150" w:before="340"/>
      </w:pPr>
      <w:r>
        <w:rPr>
          <w:b/>
          <w:bCs/>
          <w:color w:val="1A2B4A"/>
          <w:sz w:val="26"/>
          <w:szCs w:val="26"/>
        </w:rPr>
        <w:t xml:space="preserve">6. Reporting and cadence</w:t>
      </w:r>
    </w:p>
    <w:tbl>
      <w:tblPr>
        <w:tblW w:type="dxa" w:w="9360"/>
        <w:tblBorders>
          <w:top w:val="single" w:color="D8DEE8" w:sz="6"/>
          <w:left w:val="single" w:color="D8DEE8" w:sz="6"/>
          <w:bottom w:val="single" w:color="D8DEE8" w:sz="6"/>
          <w:right w:val="single" w:color="D8DEE8" w:sz="6"/>
          <w:insideH w:val="single" w:color="E6EBF0" w:sz="6"/>
          <w:insideV w:val="single" w:color="E6EBF0" w:sz="6"/>
        </w:tblBorders>
      </w:tblPr>
      <w:tblGrid>
        <w:gridCol w:w="2900"/>
        <w:gridCol w:w="6460"/>
      </w:tblGrid>
      <w:tr>
        <w:tc>
          <w:tcPr>
            <w:tcW w:type="dxa" w:w="2900"/>
            <w:shd w:fill="F2F6F8" w:val="clear"/>
            <w:tcMar>
              <w:top w:type="dxa" w:w="110"/>
              <w:left w:type="dxa" w:w="160"/>
              <w:bottom w:type="dxa" w:w="110"/>
              <w:right w:type="dxa" w:w="160"/>
            </w:tcMar>
          </w:tcPr>
          <w:p>
            <w:r>
              <w:rPr>
                <w:b/>
                <w:bCs/>
                <w:color w:val="1A2B4A"/>
                <w:sz w:val="21"/>
                <w:szCs w:val="21"/>
              </w:rPr>
              <w:t xml:space="preserve">Reporting frequency</w:t>
            </w:r>
          </w:p>
        </w:tc>
        <w:tc>
          <w:tcPr>
            <w:tcW w:type="dxa" w:w="6460"/>
            <w:tcMar>
              <w:top w:type="dxa" w:w="110"/>
              <w:left w:type="dxa" w:w="160"/>
              <w:bottom w:type="dxa" w:w="110"/>
              <w:right w:type="dxa" w:w="160"/>
            </w:tcMar>
          </w:tcPr>
          <w:p>
            <w:r>
              <w:rPr>
                <w:i/>
                <w:iCs/>
                <w:color w:val="8A97A8"/>
                <w:sz w:val="21"/>
                <w:szCs w:val="21"/>
              </w:rPr>
              <w:t xml:space="preserve">Monthly / bi-weekly / weekly</w:t>
            </w:r>
          </w:p>
        </w:tc>
      </w:tr>
      <w:tr>
        <w:tc>
          <w:tcPr>
            <w:tcW w:type="dxa" w:w="2900"/>
            <w:shd w:fill="F2F6F8" w:val="clear"/>
            <w:tcMar>
              <w:top w:type="dxa" w:w="110"/>
              <w:left w:type="dxa" w:w="160"/>
              <w:bottom w:type="dxa" w:w="110"/>
              <w:right w:type="dxa" w:w="160"/>
            </w:tcMar>
          </w:tcPr>
          <w:p>
            <w:r>
              <w:rPr>
                <w:b/>
                <w:bCs/>
                <w:color w:val="1A2B4A"/>
                <w:sz w:val="21"/>
                <w:szCs w:val="21"/>
              </w:rPr>
              <w:t xml:space="preserve">Strategy call cadence</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Primary contact at Click.n.likes</w:t>
            </w:r>
          </w:p>
        </w:tc>
        <w:tc>
          <w:tcPr>
            <w:tcW w:type="dxa" w:w="6460"/>
            <w:tcMar>
              <w:top w:type="dxa" w:w="110"/>
              <w:left w:type="dxa" w:w="160"/>
              <w:bottom w:type="dxa" w:w="110"/>
              <w:right w:type="dxa" w:w="160"/>
            </w:tcMar>
          </w:tcPr>
          <w:p>
            <w:r>
              <w:rPr>
                <w:i/>
                <w:iCs/>
                <w:color w:val="8A97A8"/>
                <w:sz w:val="21"/>
                <w:szCs w:val="21"/>
              </w:rPr>
              <w:t xml:space="preserve"/>
            </w:r>
          </w:p>
        </w:tc>
      </w:tr>
      <w:tr>
        <w:tc>
          <w:tcPr>
            <w:tcW w:type="dxa" w:w="2900"/>
            <w:shd w:fill="F2F6F8" w:val="clear"/>
            <w:tcMar>
              <w:top w:type="dxa" w:w="110"/>
              <w:left w:type="dxa" w:w="160"/>
              <w:bottom w:type="dxa" w:w="110"/>
              <w:right w:type="dxa" w:w="160"/>
            </w:tcMar>
          </w:tcPr>
          <w:p>
            <w:r>
              <w:rPr>
                <w:b/>
                <w:bCs/>
                <w:color w:val="1A2B4A"/>
                <w:sz w:val="21"/>
                <w:szCs w:val="21"/>
              </w:rPr>
              <w:t xml:space="preserve">Response time</w:t>
            </w:r>
          </w:p>
        </w:tc>
        <w:tc>
          <w:tcPr>
            <w:tcW w:type="dxa" w:w="6460"/>
            <w:tcMar>
              <w:top w:type="dxa" w:w="110"/>
              <w:left w:type="dxa" w:w="160"/>
              <w:bottom w:type="dxa" w:w="110"/>
              <w:right w:type="dxa" w:w="160"/>
            </w:tcMar>
          </w:tcPr>
          <w:p>
            <w:r>
              <w:rPr>
                <w:i/>
                <w:iCs/>
                <w:color w:val="8A97A8"/>
                <w:sz w:val="21"/>
                <w:szCs w:val="21"/>
              </w:rPr>
              <w:t xml:space="preserve">Working days</w:t>
            </w:r>
          </w:p>
        </w:tc>
      </w:tr>
    </w:tbl>
    <w:p>
      <w:pPr>
        <w:pStyle w:val="Heading1"/>
        <w:spacing w:after="150" w:before="340"/>
      </w:pPr>
      <w:r>
        <w:rPr>
          <w:b/>
          <w:bCs/>
          <w:color w:val="1A2B4A"/>
          <w:sz w:val="26"/>
          <w:szCs w:val="26"/>
        </w:rPr>
        <w:t xml:space="preserve">7. What we commit to</w:t>
      </w:r>
    </w:p>
    <w:p>
      <w:pPr>
        <w:spacing w:after="140" w:line="280"/>
      </w:pPr>
      <w:r>
        <w:rPr>
          <w:b w:val="false"/>
          <w:bCs w:val="false"/>
          <w:i w:val="false"/>
          <w:iCs w:val="false"/>
          <w:color w:val="222222"/>
          <w:sz w:val="21"/>
          <w:szCs w:val="21"/>
        </w:rPr>
        <w:t xml:space="preserve">We commit to delivering the work above, to the volumes and cadence stated, with reasonable skill and care; to reporting against enquiries and leads rather than vanity metrics; and to labelling clearly which findings are verified from live data and which are self-reported.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6"/>
              <w:left w:val="single" w:color="B03A2E" w:sz="18"/>
              <w:bottom w:val="single" w:color="E0E0E0" w:sz="6"/>
              <w:right w:val="single" w:color="E0E0E0" w:sz="6"/>
            </w:tcBorders>
            <w:shd w:fill="FDF3F2" w:val="clear"/>
            <w:tcMar>
              <w:top w:type="dxa" w:w="160"/>
              <w:left w:type="dxa" w:w="200"/>
              <w:bottom w:type="dxa" w:w="160"/>
              <w:right w:type="dxa" w:w="200"/>
            </w:tcMar>
          </w:tcPr>
          <w:p>
            <w:pPr>
              <w:spacing w:line="280"/>
            </w:pPr>
            <w:r>
              <w:rPr>
                <w:b/>
                <w:bCs/>
                <w:color w:val="B03A2E"/>
                <w:sz w:val="21"/>
                <w:szCs w:val="21"/>
              </w:rPr>
              <w:t xml:space="preserve">NO OUTCOME GUARANTEE: </w:t>
            </w:r>
            <w:r>
              <w:rPr>
                <w:sz w:val="21"/>
                <w:szCs w:val="21"/>
              </w:rPr>
              <w:t xml:space="preserve">We do not guarantee any particular ranking, traffic volume, number of leads, conversion rate or revenue. Those depend on search and AI ranking systems, ad platforms, competitors and your own market, none of which any agency controls. Any figures shown from past engagements illustrate that engagement only and are not a prediction of your results.</w:t>
            </w:r>
          </w:p>
        </w:tc>
      </w:tr>
    </w:tbl>
    <w:p>
      <w:pPr>
        <w:pStyle w:val="Heading1"/>
        <w:spacing w:after="150" w:before="340"/>
      </w:pPr>
      <w:r>
        <w:rPr>
          <w:b/>
          <w:bCs/>
          <w:color w:val="1A2B4A"/>
          <w:sz w:val="26"/>
          <w:szCs w:val="26"/>
        </w:rPr>
        <w:t xml:space="preserve">8. Acceptance</w:t>
      </w:r>
    </w:p>
    <w:p>
      <w:pPr>
        <w:spacing w:after="140" w:line="280"/>
      </w:pPr>
      <w:r>
        <w:rPr>
          <w:b w:val="false"/>
          <w:bCs w:val="false"/>
          <w:i w:val="false"/>
          <w:iCs w:val="false"/>
          <w:color w:val="222222"/>
          <w:sz w:val="21"/>
          <w:szCs w:val="21"/>
        </w:rPr>
        <w:t xml:space="preserve">This Proposal is governed by the Click.n.likes Master Services Agreement, which forms part of it and is available at clicknlikes.com/terms. By signing or electronically accepting this Proposal, by paying against it, or by instructing us to begin, the Client accepts both documents. Where this Proposal and the Master Services Agreement conflict on a commercial point, this Proposal prevails; on a legal point, the Master Services Agreement prevails.</w:t>
      </w:r>
    </w:p>
    <w:p>
      <w:pPr>
        <w:spacing w:after="140" w:line="280"/>
      </w:pPr>
      <w:r>
        <w:rPr>
          <w:b w:val="false"/>
          <w:bCs w:val="false"/>
          <w:i w:val="false"/>
          <w:iCs w:val="false"/>
          <w:color w:val="222222"/>
          <w:sz w:val="21"/>
          <w:szCs w:val="21"/>
        </w:rPr>
        <w:t xml:space="preserve"> </w:t>
      </w:r>
    </w:p>
    <w:p>
      <w:pPr>
        <w:spacing w:after="140" w:line="280"/>
      </w:pPr>
      <w:r>
        <w:rPr>
          <w:b/>
          <w:bCs/>
          <w:i w:val="false"/>
          <w:iCs w:val="false"/>
          <w:color w:val="222222"/>
          <w:sz w:val="21"/>
          <w:szCs w:val="21"/>
        </w:rPr>
        <w:t xml:space="preserve">For and on behalf of the Client                                                             For and on behalf of Click.n.likes</w:t>
      </w:r>
    </w:p>
    <w:p>
      <w:pPr>
        <w:spacing w:after="140" w:line="280"/>
      </w:pPr>
      <w:r>
        <w:rPr>
          <w:b w:val="false"/>
          <w:bCs w:val="false"/>
          <w:i w:val="false"/>
          <w:iCs w:val="false"/>
          <w:color w:val="222222"/>
          <w:sz w:val="21"/>
          <w:szCs w:val="21"/>
        </w:rPr>
        <w:t xml:space="preserve"> </w:t>
      </w:r>
    </w:p>
    <w:p>
      <w:pPr>
        <w:spacing w:after="140" w:line="280"/>
      </w:pPr>
      <w:r>
        <w:rPr>
          <w:b w:val="false"/>
          <w:bCs w:val="false"/>
          <w:i w:val="false"/>
          <w:iCs w:val="false"/>
          <w:color w:val="222222"/>
          <w:sz w:val="21"/>
          <w:szCs w:val="21"/>
        </w:rPr>
        <w:t xml:space="preserve">Name:  ______________________________                              Name:  ______________________________</w:t>
      </w:r>
    </w:p>
    <w:p>
      <w:pPr>
        <w:spacing w:after="140" w:line="280"/>
      </w:pPr>
      <w:r>
        <w:rPr>
          <w:b w:val="false"/>
          <w:bCs w:val="false"/>
          <w:i w:val="false"/>
          <w:iCs w:val="false"/>
          <w:color w:val="222222"/>
          <w:sz w:val="21"/>
          <w:szCs w:val="21"/>
        </w:rPr>
        <w:t xml:space="preserve">Title:  _______________________________                              Title:  _______________________________</w:t>
      </w:r>
    </w:p>
    <w:p>
      <w:pPr>
        <w:spacing w:after="140" w:line="280"/>
      </w:pPr>
      <w:r>
        <w:rPr>
          <w:b w:val="false"/>
          <w:bCs w:val="false"/>
          <w:i w:val="false"/>
          <w:iCs w:val="false"/>
          <w:color w:val="222222"/>
          <w:sz w:val="21"/>
          <w:szCs w:val="21"/>
        </w:rPr>
        <w:t xml:space="preserve">Date:  _______________________________                              Date:  _______________________________</w:t>
      </w:r>
    </w:p>
    <w:sectPr>
      <w:pgSz w:w="11906" w:h="16838" w:orient="portrait"/>
      <w:pgMar w:top="1180" w:right="1080" w:bottom="11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pPr>
    <w:rPr>
      <w:rFonts w:ascii="Calibri" w:cs="Calibri" w:eastAsia="Calibri" w:hAnsi="Calibri"/>
      <w:b/>
      <w:bCs/>
      <w:color w:val="1A2B4A"/>
      <w:sz w:val="26"/>
      <w:szCs w:val="26"/>
    </w:rPr>
  </w:style>
  <w:style w:type="paragraph" w:styleId="Heading2">
    <w:name w:val="Heading 2"/>
    <w:basedOn w:val="Normal"/>
    <w:next w:val="Normal"/>
    <w:qFormat/>
    <w:pPr>
      <w:spacing w:after="110" w:before="240"/>
    </w:pPr>
    <w:rPr>
      <w:rFonts w:ascii="Calibri" w:cs="Calibri" w:eastAsia="Calibri" w:hAnsi="Calibri"/>
      <w:b/>
      <w:bCs/>
      <w:color w:val="2C8F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Click.n.likes — Proposal &amp; Statement of Work (template)</dc:title>
  <dc:creator>Click.n.likes</dc:creator>
  <dc:description>Draft prepared for legal review.</dc:description>
  <cp:lastModifiedBy>Un-named</cp:lastModifiedBy>
  <cp:revision>1</cp:revision>
  <dcterms:created xsi:type="dcterms:W3CDTF">2026-07-27T10:29:25.642Z</dcterms:created>
  <dcterms:modified xsi:type="dcterms:W3CDTF">2026-07-27T10:29:25.642Z</dcterms:modified>
</cp:coreProperties>
</file>

<file path=docProps/custom.xml><?xml version="1.0" encoding="utf-8"?>
<Properties xmlns="http://schemas.openxmlformats.org/officeDocument/2006/custom-properties" xmlns:vt="http://schemas.openxmlformats.org/officeDocument/2006/docPropsVTypes"/>
</file>