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C8F88"/>
          <w:spacing w:val="60"/>
          <w:sz w:val="20"/>
          <w:szCs w:val="20"/>
        </w:rPr>
        <w:t xml:space="preserve">CLICK.N.LIKES</w:t>
      </w:r>
    </w:p>
    <w:p>
      <w:pPr>
        <w:spacing w:after="60"/>
      </w:pPr>
      <w:r>
        <w:rPr>
          <w:b/>
          <w:bCs/>
          <w:color w:val="1A2B4A"/>
          <w:sz w:val="44"/>
          <w:szCs w:val="44"/>
        </w:rPr>
        <w:t xml:space="preserve">Terms of Service</w:t>
      </w:r>
    </w:p>
    <w:p>
      <w:pPr>
        <w:pBdr>
          <w:bottom w:val="single" w:color="D8DEE8" w:sz="8" w:space="8"/>
        </w:pBdr>
        <w:spacing w:after="200"/>
      </w:pPr>
      <w:r>
        <w:rPr>
          <w:color w:val="5A6B85"/>
          <w:sz w:val="22"/>
          <w:szCs w:val="22"/>
        </w:rPr>
        <w:t xml:space="preserve">Client engagement terms — DRAFT for legal review</w:t>
      </w:r>
    </w:p>
    <w:p>
      <w:pPr>
        <w:spacing w:after="140" w:line="276"/>
      </w:pPr>
      <w:r>
        <w:rPr>
          <w:b w:val="false"/>
          <w:bCs w:val="false"/>
          <w:i w:val="false"/>
          <w:iCs w:val="false"/>
          <w:color w:val="5A6B85"/>
          <w:sz w:val="21"/>
          <w:szCs w:val="21"/>
        </w:rPr>
        <w:t xml:space="preserve">Prepared by: Click.n.likes, India. Version: July 2026 draft. Base currency: INR.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BE" w:sz="6"/>
              <w:left w:val="single" w:color="B03A2E" w:sz="18"/>
              <w:bottom w:val="single" w:color="E8C4BE" w:sz="6"/>
              <w:right w:val="single" w:color="E8C4BE" w:sz="6"/>
            </w:tcBorders>
            <w:shd w:fill="FDF3F2" w:val="clear"/>
            <w:tcMar>
              <w:top w:type="dxa" w:w="160"/>
              <w:left w:type="dxa" w:w="200"/>
              <w:bottom w:type="dxa" w:w="160"/>
              <w:right w:type="dxa" w:w="200"/>
            </w:tcMar>
          </w:tcPr>
          <w:p>
            <w:pPr>
              <w:spacing w:line="276"/>
            </w:pPr>
            <w:r>
              <w:rPr>
                <w:b/>
                <w:bCs/>
                <w:color w:val="B03A2E"/>
                <w:sz w:val="21"/>
                <w:szCs w:val="21"/>
              </w:rPr>
              <w:t xml:space="preserve">FOR REVIEW: </w:t>
            </w:r>
            <w:r>
              <w:rPr>
                <w:sz w:val="21"/>
                <w:szCs w:val="21"/>
              </w:rPr>
              <w:t xml:space="preserve">This is a plain-English draft prepared by the business, not by a legal professional. It has not been reviewed against the Indian Contract Act, 1872, the Information Technology Act, 2000, consumer protection legislation, or applicable GST/tax rules. Please review, correct and adapt it before it is published or relied upon.</w:t>
            </w:r>
          </w:p>
        </w:tc>
      </w:tr>
    </w:tbl>
    <w:p>
      <w:pPr>
        <w:pStyle w:val="Heading1"/>
        <w:spacing w:after="160" w:before="360"/>
      </w:pPr>
      <w:r>
        <w:t xml:space="preserve">1. Business context</w:t>
      </w:r>
    </w:p>
    <w:p>
      <w:pPr>
        <w:spacing w:after="140" w:line="276"/>
      </w:pPr>
      <w:r>
        <w:rPr>
          <w:b w:val="false"/>
          <w:bCs w:val="false"/>
          <w:i w:val="false"/>
          <w:iCs w:val="false"/>
          <w:color w:val="222222"/>
          <w:sz w:val="21"/>
          <w:szCs w:val="21"/>
        </w:rPr>
        <w:t xml:space="preserve">Click.n.likes is a digital marketing agency registered in India, serving clients in India and internationally. Services are supplied on a monthly basis under a client-selected term (SEO, Local SEO, AI SEO, Social Media, Content, Paid Campaigns) and as one-time projects (Website Development).</w:t>
      </w:r>
    </w:p>
    <w:p>
      <w:pPr>
        <w:spacing w:after="140" w:line="276"/>
      </w:pPr>
      <w:r>
        <w:rPr>
          <w:b w:val="false"/>
          <w:bCs w:val="false"/>
          <w:i w:val="false"/>
          <w:iCs w:val="false"/>
          <w:color w:val="222222"/>
          <w:sz w:val="21"/>
          <w:szCs w:val="21"/>
        </w:rPr>
        <w:t xml:space="preserve">Key commercial features these terms need to support:</w:t>
      </w:r>
    </w:p>
    <w:p>
      <w:pPr>
        <w:pStyle w:val="ListParagraph"/>
        <w:numPr>
          <w:ilvl w:val="0"/>
          <w:numId w:val="2"/>
        </w:numPr>
        <w:spacing w:after="90" w:line="276"/>
      </w:pPr>
      <w:r>
        <w:rPr>
          <w:sz w:val="21"/>
          <w:szCs w:val="21"/>
        </w:rPr>
        <w:t xml:space="preserve">Published pricing with three tiers per service plus a custom option; the figure on the website is indicative and is confirmed in a written proposal.</w:t>
      </w:r>
    </w:p>
    <w:p>
      <w:pPr>
        <w:pStyle w:val="ListParagraph"/>
        <w:numPr>
          <w:ilvl w:val="0"/>
          <w:numId w:val="2"/>
        </w:numPr>
        <w:spacing w:after="90" w:line="276"/>
      </w:pPr>
      <w:r>
        <w:rPr>
          <w:sz w:val="21"/>
          <w:szCs w:val="21"/>
        </w:rPr>
        <w:t xml:space="preserve">A 15% discount when two or more services are engaged together.</w:t>
      </w:r>
    </w:p>
    <w:p>
      <w:pPr>
        <w:pStyle w:val="ListParagraph"/>
        <w:numPr>
          <w:ilvl w:val="0"/>
          <w:numId w:val="2"/>
        </w:numPr>
        <w:spacing w:after="90" w:line="276"/>
      </w:pPr>
      <w:r>
        <w:rPr>
          <w:sz w:val="21"/>
          <w:szCs w:val="21"/>
        </w:rPr>
        <w:t xml:space="preserve">Term options of 1, 3, 6 or 12 months, billed monthly in advance. On a 6-month term the client is charged for 5 months; on a 12-month term, for 10. The free months fall at the END of the term, so they are earned by completing it.</w:t>
      </w:r>
    </w:p>
    <w:p>
      <w:pPr>
        <w:pStyle w:val="ListParagraph"/>
        <w:numPr>
          <w:ilvl w:val="0"/>
          <w:numId w:val="2"/>
        </w:numPr>
        <w:spacing w:after="90" w:line="276"/>
      </w:pPr>
      <w:r>
        <w:rPr>
          <w:sz w:val="21"/>
          <w:szCs w:val="21"/>
        </w:rPr>
        <w:t xml:space="preserve">Certain costs are never routed through the agency and are paid by the client directly: advertising spend, domain, hosting, CMS/plugin licences, premium stock/fonts/tools, and photo/video shoot production.</w:t>
      </w:r>
    </w:p>
    <w:p>
      <w:pPr>
        <w:pStyle w:val="ListParagraph"/>
        <w:numPr>
          <w:ilvl w:val="0"/>
          <w:numId w:val="2"/>
        </w:numPr>
        <w:spacing w:after="90" w:line="276"/>
      </w:pPr>
      <w:r>
        <w:rPr>
          <w:sz w:val="21"/>
          <w:szCs w:val="21"/>
        </w:rPr>
        <w:t xml:space="preserve">Prices are displayed in the visitor’s local currency for convenience but the engagement is billed in the base currency stated in the proposal.</w:t>
      </w:r>
    </w:p>
    <w:p>
      <w:pPr>
        <w:pStyle w:val="ListParagraph"/>
        <w:numPr>
          <w:ilvl w:val="0"/>
          <w:numId w:val="2"/>
        </w:numPr>
        <w:spacing w:after="90" w:line="276"/>
      </w:pPr>
      <w:r>
        <w:rPr>
          <w:sz w:val="21"/>
          <w:szCs w:val="21"/>
        </w:rPr>
        <w:t xml:space="preserve">We need clear, client-facing refund and cancellation policies, and language that builds confidence rather than reading as a disclaimer.</w:t>
      </w:r>
    </w:p>
    <w:p>
      <w:pPr>
        <w:pStyle w:val="ListParagraph"/>
        <w:numPr>
          <w:ilvl w:val="0"/>
          <w:numId w:val="2"/>
        </w:numPr>
        <w:spacing w:after="90" w:line="276"/>
      </w:pPr>
      <w:r>
        <w:rPr>
          <w:sz w:val="21"/>
          <w:szCs w:val="21"/>
        </w:rPr>
        <w:t xml:space="preserve">Free self-serve tools on the website produce estimates from live-fetched or self-reported data, each labelled as such.</w:t>
      </w:r>
    </w:p>
    <w:p>
      <w:pPr>
        <w:pStyle w:val="Heading1"/>
        <w:spacing w:after="160" w:before="360"/>
      </w:pPr>
      <w:r>
        <w:t xml:space="preserve">2. Draft terms for review</w:t>
      </w:r>
    </w:p>
    <w:p>
      <w:pPr>
        <w:spacing w:after="140" w:line="276"/>
      </w:pPr>
      <w:r>
        <w:rPr>
          <w:b w:val="false"/>
          <w:bCs w:val="false"/>
          <w:i/>
          <w:iCs/>
          <w:color w:val="5A6B85"/>
          <w:sz w:val="21"/>
          <w:szCs w:val="21"/>
        </w:rPr>
        <w:t xml:space="preserve">The clauses below are the current draft. Please amend, expand or replace as required.</w:t>
      </w:r>
    </w:p>
    <w:p>
      <w:pPr>
        <w:spacing w:after="140" w:before="180" w:line="276"/>
      </w:pPr>
      <w:r>
        <w:rPr>
          <w:b/>
          <w:bCs/>
          <w:color w:val="1A2B4A"/>
          <w:sz w:val="21"/>
          <w:szCs w:val="21"/>
        </w:rPr>
        <w:t xml:space="preserve">1. Scope of services. </w:t>
      </w:r>
      <w:r>
        <w:rPr>
          <w:sz w:val="21"/>
          <w:szCs w:val="21"/>
        </w:rPr>
        <w:t xml:space="preserve">We provide the services set out in the client’s written proposal (“the Proposal”). Work falling outside the Proposal is out of scope and will be quoted separately before it is undertaken.</w:t>
      </w:r>
    </w:p>
    <w:p>
      <w:pPr>
        <w:spacing w:after="140" w:before="180" w:line="276"/>
      </w:pPr>
      <w:r>
        <w:rPr>
          <w:b/>
          <w:bCs/>
          <w:color w:val="1A2B4A"/>
          <w:sz w:val="21"/>
          <w:szCs w:val="21"/>
        </w:rPr>
        <w:t xml:space="preserve">2. Term, packages and billing. </w:t>
      </w:r>
      <w:r>
        <w:rPr>
          <w:sz w:val="21"/>
          <w:szCs w:val="21"/>
        </w:rPr>
        <w:t xml:space="preserve">Monthly services are supplied for the term the client selects — 1, 3, 6 or 12 months — and are invoiced monthly in advance throughout that term. A term is not a lump-sum package: the client pays month by month, and the term fixes how long the engagement runs and which incentives apply. On a 6-month term, months 1 to 5 are chargeable and month 6 is supplied at no charge. On a 12-month term, months 1 to 10 are chargeable and months 11 and 12 are supplied at no charge. The complimentary months fall at the end of the term and are earned by completing it. One-time projects are invoiced 50% to commence and 50% on delivery unless the Proposal states otherwise.</w:t>
      </w:r>
    </w:p>
    <w:p>
      <w:pPr>
        <w:spacing w:after="140" w:before="180" w:line="276"/>
      </w:pPr>
      <w:r>
        <w:rPr>
          <w:b/>
          <w:bCs/>
          <w:color w:val="1A2B4A"/>
          <w:sz w:val="21"/>
          <w:szCs w:val="21"/>
        </w:rPr>
        <w:t xml:space="preserve">3. Fees and invoicing. </w:t>
      </w:r>
      <w:r>
        <w:rPr>
          <w:sz w:val="21"/>
          <w:szCs w:val="21"/>
        </w:rPr>
        <w:t xml:space="preserve">Fees are as stated in the Proposal, in the currency stated there. Our base currency is INR; amounts displayed in other currencies on our website are indicative at the prevailing rate and are confirmed in the Proposal. Invoices are payable within 7 days. Where an account falls overdue we may pause work after giving written notice, and we resume promptly once payment is received.</w:t>
      </w:r>
    </w:p>
    <w:p>
      <w:pPr>
        <w:spacing w:after="140" w:before="180" w:line="276"/>
      </w:pPr>
      <w:r>
        <w:rPr>
          <w:b/>
          <w:bCs/>
          <w:color w:val="1A2B4A"/>
          <w:sz w:val="21"/>
          <w:szCs w:val="21"/>
        </w:rPr>
        <w:t xml:space="preserve">4. Taxes. </w:t>
      </w:r>
      <w:r>
        <w:rPr>
          <w:sz w:val="21"/>
          <w:szCs w:val="21"/>
        </w:rPr>
        <w:t xml:space="preserve">All fees are exclusive of tax. We are not presently registered for GST and accordingly no GST is charged on our invoices. Where we become liable to register for GST, or where any other tax, duty or levy becomes applicable, it will be charged in addition at the prevailing rate and shown separately on the invoice. [For the tax adviser: please confirm the aggregate-turnover threshold that triggers registration, whether fees invoiced to clients outside India count toward that threshold, and the treatment of export of services, including any LUT requirement, once registration applies.]</w:t>
      </w:r>
    </w:p>
    <w:p>
      <w:pPr>
        <w:spacing w:after="140" w:before="180" w:line="276"/>
      </w:pPr>
      <w:r>
        <w:rPr>
          <w:b/>
          <w:bCs/>
          <w:color w:val="1A2B4A"/>
          <w:sz w:val="21"/>
          <w:szCs w:val="21"/>
        </w:rPr>
        <w:t xml:space="preserve">5. Multi-service discount. </w:t>
      </w:r>
      <w:r>
        <w:rPr>
          <w:sz w:val="21"/>
          <w:szCs w:val="21"/>
        </w:rPr>
        <w:t xml:space="preserve">A discount of 15% applies to the monthly fee for each month in which two or more services are active. If the client reduces the engagement to a single service, the discount ceases from the following month. A discount already applied to a completed month is never recalculated or reclaimed.</w:t>
      </w:r>
    </w:p>
    <w:p>
      <w:pPr>
        <w:spacing w:after="140" w:before="180" w:line="276"/>
      </w:pPr>
      <w:r>
        <w:rPr>
          <w:b/>
          <w:bCs/>
          <w:color w:val="1A2B4A"/>
          <w:sz w:val="21"/>
          <w:szCs w:val="21"/>
        </w:rPr>
        <w:t xml:space="preserve">6. Costs payable by the client directly. </w:t>
      </w:r>
      <w:r>
        <w:rPr>
          <w:sz w:val="21"/>
          <w:szCs w:val="21"/>
        </w:rPr>
        <w:t xml:space="preserve">Advertising spend, the client’s domain, hosting and any CMS or plugin licences, premium stock, fonts or third-party tools, and photography or videography production are the client’s own costs. They are paid by the client directly to the relevant provider, are purchased in the client’s own name where applicable, and are not included in our fees.</w:t>
      </w:r>
    </w:p>
    <w:p>
      <w:pPr>
        <w:spacing w:after="140" w:before="180" w:line="276"/>
      </w:pPr>
      <w:r>
        <w:rPr>
          <w:b/>
          <w:bCs/>
          <w:color w:val="1A2B4A"/>
          <w:sz w:val="21"/>
          <w:szCs w:val="21"/>
        </w:rPr>
        <w:t xml:space="preserve">7. Client responsibilities. </w:t>
      </w:r>
      <w:r>
        <w:rPr>
          <w:sz w:val="21"/>
          <w:szCs w:val="21"/>
        </w:rPr>
        <w:t xml:space="preserve">The client will provide timely feedback, approvals, content, brand assets and access to the accounts and platforms required to perform the services, and warrants that any material supplied to us does not infringe the rights of any third party. Delays attributable to the client may extend timelines accordingly.</w:t>
      </w:r>
    </w:p>
    <w:p>
      <w:pPr>
        <w:spacing w:after="140" w:before="180" w:line="276"/>
      </w:pPr>
      <w:r>
        <w:rPr>
          <w:b/>
          <w:bCs/>
          <w:color w:val="1A2B4A"/>
          <w:sz w:val="21"/>
          <w:szCs w:val="21"/>
        </w:rPr>
        <w:t xml:space="preserve">8. Revisions and approvals. </w:t>
      </w:r>
      <w:r>
        <w:rPr>
          <w:sz w:val="21"/>
          <w:szCs w:val="21"/>
        </w:rPr>
        <w:t xml:space="preserve">Deliverables include the number of revision rounds stated in the Proposal. Further revisions are quoted separately before they are undertaken.</w:t>
      </w:r>
    </w:p>
    <w:p>
      <w:pPr>
        <w:pStyle w:val="Heading2"/>
        <w:spacing w:after="120" w:before="260"/>
      </w:pPr>
      <w:r>
        <w:t xml:space="preserve">Cancellation</w:t>
      </w:r>
    </w:p>
    <w:p>
      <w:pPr>
        <w:spacing w:after="140" w:before="180" w:line="276"/>
      </w:pPr>
      <w:r>
        <w:rPr>
          <w:b/>
          <w:bCs/>
          <w:color w:val="1A2B4A"/>
          <w:sz w:val="21"/>
          <w:szCs w:val="21"/>
        </w:rPr>
        <w:t xml:space="preserve">9. Cancellation by the client. </w:t>
      </w:r>
      <w:r>
        <w:rPr>
          <w:sz w:val="21"/>
          <w:szCs w:val="21"/>
        </w:rPr>
        <w:t xml:space="preserve">The client may cancel at any time by giving 30 days’ written notice. During the notice period we continue to deliver the services and the fee for that period remains payable. Where the client is part-way through a 6- or 12-month term, the complimentary months at the end of that term are not reached and therefore do not apply; no penalty, exit fee or recalculation of past months is charged. A one-time project may be cancelled before delivery, with payment due only for the work completed to the date of cancellation.</w:t>
      </w:r>
    </w:p>
    <w:p>
      <w:pPr>
        <w:spacing w:after="140" w:before="180" w:line="276"/>
      </w:pPr>
      <w:r>
        <w:rPr>
          <w:b/>
          <w:bCs/>
          <w:color w:val="1A2B4A"/>
          <w:sz w:val="21"/>
          <w:szCs w:val="21"/>
        </w:rPr>
        <w:t xml:space="preserve">10. Cancellation by us. </w:t>
      </w:r>
      <w:r>
        <w:rPr>
          <w:sz w:val="21"/>
          <w:szCs w:val="21"/>
        </w:rPr>
        <w:t xml:space="preserve">We may cancel on the same 30 days’ written notice. If we cancel for any reason other than the client’s breach or non-payment, we will refund any fees paid for services not yet delivered, complete any work already invoiced, and hand over all deliverables and account access in a usable state.</w:t>
      </w:r>
    </w:p>
    <w:p>
      <w:pPr>
        <w:spacing w:after="140" w:before="180" w:line="276"/>
      </w:pPr>
      <w:r>
        <w:rPr>
          <w:b/>
          <w:bCs/>
          <w:color w:val="1A2B4A"/>
          <w:sz w:val="21"/>
          <w:szCs w:val="21"/>
        </w:rPr>
        <w:t xml:space="preserve">11. Termination for cause. </w:t>
      </w:r>
      <w:r>
        <w:rPr>
          <w:sz w:val="21"/>
          <w:szCs w:val="21"/>
        </w:rPr>
        <w:t xml:space="preserve">Either party may terminate immediately, by written notice, if the other commits a material breach that is not remedied within 14 days of being notified of it, becomes insolvent, or is required to stop by law.</w:t>
      </w:r>
    </w:p>
    <w:p>
      <w:pPr>
        <w:pStyle w:val="Heading2"/>
        <w:spacing w:after="120" w:before="260"/>
      </w:pPr>
      <w:r>
        <w:t xml:space="preserve">Refunds</w:t>
      </w:r>
    </w:p>
    <w:p>
      <w:pPr>
        <w:spacing w:after="140" w:before="180" w:line="276"/>
      </w:pPr>
      <w:r>
        <w:rPr>
          <w:b/>
          <w:bCs/>
          <w:color w:val="1A2B4A"/>
          <w:sz w:val="21"/>
          <w:szCs w:val="21"/>
        </w:rPr>
        <w:t xml:space="preserve">12. Refund policy. </w:t>
      </w:r>
      <w:r>
        <w:rPr>
          <w:sz w:val="21"/>
          <w:szCs w:val="21"/>
        </w:rPr>
        <w:t xml:space="preserve">Fees for services already delivered are not refundable, because the work has been performed. Any amount paid in advance for services not yet delivered is refunded in full, or credited against future work if the client prefers, within 14 working days of the engagement ending. For one-time projects, the commencement payment covers work undertaken from the date of instruction and is refundable only to the extent it exceeds the value of the work completed at the point of cancellation. Advertising spend is held by the advertising platform and never by us, so any refund of unspent budget is governed by that platform’s own rules and is claimed by the client directly. Domain, hosting, licences and third-party tools are purchased by the client in the client’s own name and are refundable only under the terms of the relevant provider.</w:t>
      </w:r>
    </w:p>
    <w:p>
      <w:pPr>
        <w:spacing w:after="140" w:before="180" w:line="276"/>
      </w:pPr>
      <w:r>
        <w:rPr>
          <w:b/>
          <w:bCs/>
          <w:color w:val="1A2B4A"/>
          <w:sz w:val="21"/>
          <w:szCs w:val="21"/>
        </w:rPr>
        <w:t xml:space="preserve">13. If something goes wrong. </w:t>
      </w:r>
      <w:r>
        <w:rPr>
          <w:sz w:val="21"/>
          <w:szCs w:val="21"/>
        </w:rPr>
        <w:t xml:space="preserve">If the client is dissatisfied with any deliverable, we ask that it is raised in writing within 14 days of delivery. We will correct any work that does not match what the Proposal describes, at our cost and as a priority. This is in addition to, and does not limit, the client’s rights at law.</w:t>
      </w:r>
    </w:p>
    <w:p>
      <w:pPr>
        <w:pStyle w:val="Heading2"/>
        <w:spacing w:after="120" w:before="260"/>
      </w:pPr>
      <w:r>
        <w:t xml:space="preserve">Standards, ownership and liability</w:t>
      </w:r>
    </w:p>
    <w:p>
      <w:pPr>
        <w:spacing w:after="140" w:before="180" w:line="276"/>
      </w:pPr>
      <w:r>
        <w:rPr>
          <w:b/>
          <w:bCs/>
          <w:color w:val="1A2B4A"/>
          <w:sz w:val="21"/>
          <w:szCs w:val="21"/>
        </w:rPr>
        <w:t xml:space="preserve">14. What we commit to. </w:t>
      </w:r>
      <w:r>
        <w:rPr>
          <w:sz w:val="21"/>
          <w:szCs w:val="21"/>
        </w:rPr>
        <w:t xml:space="preserve">We commit to delivering the specific work described in the Proposal, to a professional standard, to the agreed volumes and timelines; to reporting honestly against the leads and enquiries generated rather than vanity metrics; to labelling clearly which findings are verified from live data and which are self-reported; and to keeping the client informed of what has been done and what is planned. Where our work is measured, it is measured against these commitments.</w:t>
      </w:r>
    </w:p>
    <w:p>
      <w:pPr>
        <w:spacing w:after="140" w:before="180" w:line="276"/>
      </w:pPr>
      <w:r>
        <w:rPr>
          <w:b/>
          <w:bCs/>
          <w:color w:val="1A2B4A"/>
          <w:sz w:val="21"/>
          <w:szCs w:val="21"/>
        </w:rPr>
        <w:t xml:space="preserve">15. What we cannot promise. </w:t>
      </w:r>
      <w:r>
        <w:rPr>
          <w:sz w:val="21"/>
          <w:szCs w:val="21"/>
        </w:rPr>
        <w:t xml:space="preserve">We cannot promise a particular search ranking, volume of traffic, number of leads, conversion rate or revenue figure, because these are determined by search engine and AI ranking systems, advertising platform behaviour, competitor activity and conditions in the client’s own market, none of which are within our control or within the control of any agency. No statement made by us, on our website or in any proposal, is to be read as a guarantee of a commercial outcome.</w:t>
      </w:r>
    </w:p>
    <w:p>
      <w:pPr>
        <w:spacing w:after="140" w:before="180" w:line="276"/>
      </w:pPr>
      <w:r>
        <w:rPr>
          <w:b/>
          <w:bCs/>
          <w:color w:val="1A2B4A"/>
          <w:sz w:val="21"/>
          <w:szCs w:val="21"/>
        </w:rPr>
        <w:t xml:space="preserve">16. Third-party platforms. </w:t>
      </w:r>
      <w:r>
        <w:rPr>
          <w:sz w:val="21"/>
          <w:szCs w:val="21"/>
        </w:rPr>
        <w:t xml:space="preserve">Our services rely on third-party platforms including search engines, advertising networks, social media platforms, hosting providers and content management systems. We are not responsible for changes to, interruptions in, suspension of, or decisions taken by those platforms, including account suspensions or changes to their ranking systems.</w:t>
      </w:r>
    </w:p>
    <w:p>
      <w:pPr>
        <w:spacing w:after="140" w:before="180" w:line="276"/>
      </w:pPr>
      <w:r>
        <w:rPr>
          <w:b/>
          <w:bCs/>
          <w:color w:val="1A2B4A"/>
          <w:sz w:val="21"/>
          <w:szCs w:val="21"/>
        </w:rPr>
        <w:t xml:space="preserve">17. Free tools on our website. </w:t>
      </w:r>
      <w:r>
        <w:rPr>
          <w:sz w:val="21"/>
          <w:szCs w:val="21"/>
        </w:rPr>
        <w:t xml:space="preserve">The self-serve tools on our website generate directional estimates using either data fetched live from a page submitted by the user or information self-reported by the user, and each result is labelled accordingly. They do not constitute a professional audit and are provided without warranty.</w:t>
      </w:r>
    </w:p>
    <w:p>
      <w:pPr>
        <w:spacing w:after="140" w:before="180" w:line="276"/>
      </w:pPr>
      <w:r>
        <w:rPr>
          <w:b/>
          <w:bCs/>
          <w:color w:val="1A2B4A"/>
          <w:sz w:val="21"/>
          <w:szCs w:val="21"/>
        </w:rPr>
        <w:t xml:space="preserve">18. Intellectual property. </w:t>
      </w:r>
      <w:r>
        <w:rPr>
          <w:sz w:val="21"/>
          <w:szCs w:val="21"/>
        </w:rPr>
        <w:t xml:space="preserve">Upon receipt of payment in full, the final deliverables created for the client under the Proposal transfer to the client. We retain ownership of our pre-existing tools, methods, frameworks and templates, and of any component not created specifically for the client. We may reference and display non-confidential work in our portfolio and marketing unless the client requests otherwise in writing.</w:t>
      </w:r>
    </w:p>
    <w:p>
      <w:pPr>
        <w:spacing w:after="140" w:before="180" w:line="276"/>
      </w:pPr>
      <w:r>
        <w:rPr>
          <w:b/>
          <w:bCs/>
          <w:color w:val="1A2B4A"/>
          <w:sz w:val="21"/>
          <w:szCs w:val="21"/>
        </w:rPr>
        <w:t xml:space="preserve">19. Confidentiality. </w:t>
      </w:r>
      <w:r>
        <w:rPr>
          <w:sz w:val="21"/>
          <w:szCs w:val="21"/>
        </w:rPr>
        <w:t xml:space="preserve">Each party will keep the other’s non-public information confidential and use it solely for the purposes of the engagement. This obligation survives termination.</w:t>
      </w:r>
    </w:p>
    <w:p>
      <w:pPr>
        <w:spacing w:after="140" w:before="180" w:line="276"/>
      </w:pPr>
      <w:r>
        <w:rPr>
          <w:b/>
          <w:bCs/>
          <w:color w:val="1A2B4A"/>
          <w:sz w:val="21"/>
          <w:szCs w:val="21"/>
        </w:rPr>
        <w:t xml:space="preserve">20. Data protection. </w:t>
      </w:r>
      <w:r>
        <w:rPr>
          <w:sz w:val="21"/>
          <w:szCs w:val="21"/>
        </w:rPr>
        <w:t xml:space="preserve">Each party will comply with applicable data protection law in relation to any personal data processed in connection with the engagement, including the Digital Personal Data Protection Act, 2023 where applicable. [Please advise whether a separate data processing schedule is required, particularly for clients outside India and where we are given access to client advertising and analytics accounts.]</w:t>
      </w:r>
    </w:p>
    <w:p>
      <w:pPr>
        <w:spacing w:after="140" w:before="180" w:line="276"/>
      </w:pPr>
      <w:r>
        <w:rPr>
          <w:b/>
          <w:bCs/>
          <w:color w:val="1A2B4A"/>
          <w:sz w:val="21"/>
          <w:szCs w:val="21"/>
        </w:rPr>
        <w:t xml:space="preserve">21. Limitation of liability. </w:t>
      </w:r>
      <w:r>
        <w:rPr>
          <w:sz w:val="21"/>
          <w:szCs w:val="21"/>
        </w:rPr>
        <w:t xml:space="preserve">To the maximum extent permitted by law, neither party is liable for indirect, incidental, special or consequential loss, including loss of revenue, profits, business or goodwill. Our aggregate liability arising out of or in connection with the engagement is limited to the total fees paid to us for the services in the three months preceding the event giving rise to the claim. Nothing in these terms limits liability for fraud, wilful misconduct, death or personal injury, or any other liability that cannot lawfully be limited. [Please confirm the cap and the carve-outs.]</w:t>
      </w:r>
    </w:p>
    <w:p>
      <w:pPr>
        <w:spacing w:after="140" w:before="180" w:line="276"/>
      </w:pPr>
      <w:r>
        <w:rPr>
          <w:b/>
          <w:bCs/>
          <w:color w:val="1A2B4A"/>
          <w:sz w:val="21"/>
          <w:szCs w:val="21"/>
        </w:rPr>
        <w:t xml:space="preserve">22. Force majeure. </w:t>
      </w:r>
      <w:r>
        <w:rPr>
          <w:sz w:val="21"/>
          <w:szCs w:val="21"/>
        </w:rPr>
        <w:t xml:space="preserve">Neither party is liable for failure or delay in performance caused by events beyond its reasonable control.</w:t>
      </w:r>
    </w:p>
    <w:p>
      <w:pPr>
        <w:spacing w:after="140" w:before="180" w:line="276"/>
      </w:pPr>
      <w:r>
        <w:rPr>
          <w:b/>
          <w:bCs/>
          <w:color w:val="1A2B4A"/>
          <w:sz w:val="21"/>
          <w:szCs w:val="21"/>
        </w:rPr>
        <w:t xml:space="preserve">23. Entire agreement and precedence. </w:t>
      </w:r>
      <w:r>
        <w:rPr>
          <w:sz w:val="21"/>
          <w:szCs w:val="21"/>
        </w:rPr>
        <w:t xml:space="preserve">The Proposal together with these terms constitutes the entire agreement between the parties. Where the Proposal and these terms conflict, the Proposal prevails. Prices, packages and inclusions published on our website are indicative and do not constitute an offer capable of acceptance.</w:t>
      </w:r>
    </w:p>
    <w:p>
      <w:pPr>
        <w:spacing w:after="140" w:before="180" w:line="276"/>
      </w:pPr>
      <w:r>
        <w:rPr>
          <w:b/>
          <w:bCs/>
          <w:color w:val="1A2B4A"/>
          <w:sz w:val="21"/>
          <w:szCs w:val="21"/>
        </w:rPr>
        <w:t xml:space="preserve">24. Governing law and jurisdiction. </w:t>
      </w:r>
      <w:r>
        <w:rPr>
          <w:sz w:val="21"/>
          <w:szCs w:val="21"/>
        </w:rPr>
        <w:t xml:space="preserve">These terms and any engagement under them are governed by the laws of India, and are subject to the jurisdiction of the competent courts of India. [Please advise whether a single named seat should be specified for certainty of enforcement, and whether an arbitration clause seated in India would be preferable, particularly for clients contracting from outside India.]</w:t>
      </w:r>
    </w:p>
    <w:p>
      <w:r>
        <w:br w:type="page"/>
      </w:r>
    </w:p>
    <w:p>
      <w:pPr>
        <w:pStyle w:val="Heading1"/>
        <w:spacing w:after="160" w:before="360"/>
      </w:pPr>
      <w:r>
        <w:t xml:space="preserve">3. Specific questions for counsel</w:t>
      </w:r>
    </w:p>
    <w:p>
      <w:pPr>
        <w:spacing w:after="140" w:line="276"/>
      </w:pPr>
      <w:r>
        <w:rPr>
          <w:b w:val="false"/>
          <w:bCs w:val="false"/>
          <w:i w:val="false"/>
          <w:iCs w:val="false"/>
          <w:color w:val="222222"/>
          <w:sz w:val="21"/>
          <w:szCs w:val="21"/>
        </w:rPr>
        <w:t xml:space="preserve">The following points are where we would most value your guidance. Points 1 to 3 are the commercially significant ones:</w:t>
      </w:r>
    </w:p>
    <w:p>
      <w:pPr>
        <w:pStyle w:val="ListParagraph"/>
        <w:numPr>
          <w:ilvl w:val="0"/>
          <w:numId w:val="3"/>
        </w:numPr>
        <w:spacing w:after="110" w:line="276"/>
      </w:pPr>
      <w:r>
        <w:rPr>
          <w:sz w:val="21"/>
          <w:szCs w:val="21"/>
        </w:rPr>
        <w:t xml:space="preserve">GST: we are not currently registered, so we do not charge GST. Please confirm this is correct, at what point registration becomes mandatory, and whether fees invoiced to clients outside India count toward that threshold. A tax adviser’s view would be welcome here.</w:t>
      </w:r>
    </w:p>
    <w:p>
      <w:pPr>
        <w:pStyle w:val="ListParagraph"/>
        <w:numPr>
          <w:ilvl w:val="0"/>
          <w:numId w:val="3"/>
        </w:numPr>
        <w:spacing w:after="110" w:line="276"/>
      </w:pPr>
      <w:r>
        <w:rPr>
          <w:sz w:val="21"/>
          <w:szCs w:val="21"/>
        </w:rPr>
        <w:t xml:space="preserve">Is the term structure in clause 2 sound — monthly billing across a fixed term, with the complimentary months falling at the end and simply not being reached if the client leaves early? We deliberately avoided any clawback or exit penalty.</w:t>
      </w:r>
    </w:p>
    <w:p>
      <w:pPr>
        <w:pStyle w:val="ListParagraph"/>
        <w:numPr>
          <w:ilvl w:val="0"/>
          <w:numId w:val="3"/>
        </w:numPr>
        <w:spacing w:after="110" w:line="276"/>
      </w:pPr>
      <w:r>
        <w:rPr>
          <w:sz w:val="21"/>
          <w:szCs w:val="21"/>
        </w:rPr>
        <w:t xml:space="preserve">Are the cancellation clauses (9 to 11) and the refund policy (clause 12) clear, fair and enforceable, and is 30 days’ notice appropriate for both sides?</w:t>
      </w:r>
    </w:p>
    <w:p>
      <w:pPr>
        <w:pStyle w:val="ListParagraph"/>
        <w:numPr>
          <w:ilvl w:val="0"/>
          <w:numId w:val="3"/>
        </w:numPr>
        <w:spacing w:after="110" w:line="276"/>
      </w:pPr>
      <w:r>
        <w:rPr>
          <w:sz w:val="21"/>
          <w:szCs w:val="21"/>
        </w:rPr>
        <w:t xml:space="preserve">Does clause 15 give adequate protection against a claim of misrepresentation, given that our marketing discusses growth outcomes, and is the split between clause 14 (what we commit to) and clause 15 (what we cannot promise) drafted correctly?</w:t>
      </w:r>
    </w:p>
    <w:p>
      <w:pPr>
        <w:pStyle w:val="ListParagraph"/>
        <w:numPr>
          <w:ilvl w:val="0"/>
          <w:numId w:val="3"/>
        </w:numPr>
        <w:spacing w:after="110" w:line="276"/>
      </w:pPr>
      <w:r>
        <w:rPr>
          <w:sz w:val="21"/>
          <w:szCs w:val="21"/>
        </w:rPr>
        <w:t xml:space="preserve">Is the liability cap in clause 21 appropriate, and are the carve-outs correctly and completely stated?</w:t>
      </w:r>
    </w:p>
    <w:p>
      <w:pPr>
        <w:pStyle w:val="ListParagraph"/>
        <w:numPr>
          <w:ilvl w:val="0"/>
          <w:numId w:val="3"/>
        </w:numPr>
        <w:spacing w:after="110" w:line="276"/>
      </w:pPr>
      <w:r>
        <w:rPr>
          <w:sz w:val="21"/>
          <w:szCs w:val="21"/>
        </w:rPr>
        <w:t xml:space="preserve">Should clause 24 name a single seat of jurisdiction rather than referring to the competent courts of India generally, and would an arbitration clause be preferable for international clients?</w:t>
      </w:r>
    </w:p>
    <w:p>
      <w:pPr>
        <w:pStyle w:val="ListParagraph"/>
        <w:numPr>
          <w:ilvl w:val="0"/>
          <w:numId w:val="3"/>
        </w:numPr>
        <w:spacing w:after="110" w:line="276"/>
      </w:pPr>
      <w:r>
        <w:rPr>
          <w:sz w:val="21"/>
          <w:szCs w:val="21"/>
        </w:rPr>
        <w:t xml:space="preserve">Is a separate data processing schedule required under the DPDP Act, 2023, particularly where we are given access to client advertising and analytics accounts?</w:t>
      </w:r>
    </w:p>
    <w:p>
      <w:pPr>
        <w:pStyle w:val="ListParagraph"/>
        <w:numPr>
          <w:ilvl w:val="0"/>
          <w:numId w:val="3"/>
        </w:numPr>
        <w:spacing w:after="110" w:line="276"/>
      </w:pPr>
      <w:r>
        <w:rPr>
          <w:sz w:val="21"/>
          <w:szCs w:val="21"/>
        </w:rPr>
        <w:t xml:space="preserve">Do we need distinct website terms of use and a privacy policy separate from these engagement terms, and does the free-tools disclaimer in clause 17 suffice?</w:t>
      </w:r>
    </w:p>
    <w:p>
      <w:pPr>
        <w:pStyle w:val="ListParagraph"/>
        <w:numPr>
          <w:ilvl w:val="0"/>
          <w:numId w:val="3"/>
        </w:numPr>
        <w:spacing w:after="110" w:line="276"/>
      </w:pPr>
      <w:r>
        <w:rPr>
          <w:sz w:val="21"/>
          <w:szCs w:val="21"/>
        </w:rPr>
        <w:t xml:space="preserve">Are there consumer-protection implications where a client is a sole proprietor or very small business rather than a company?</w:t>
      </w:r>
    </w:p>
    <w:p>
      <w:pPr>
        <w:pStyle w:val="ListParagraph"/>
        <w:numPr>
          <w:ilvl w:val="0"/>
          <w:numId w:val="3"/>
        </w:numPr>
        <w:spacing w:after="110" w:line="276"/>
      </w:pPr>
      <w:r>
        <w:rPr>
          <w:sz w:val="21"/>
          <w:szCs w:val="21"/>
        </w:rPr>
        <w:t xml:space="preserve">Should payment terms include an interest provision on overdue invoices, and if so at what rate?</w:t>
      </w:r>
    </w:p>
    <w:p>
      <w:pPr>
        <w:pStyle w:val="ListParagraph"/>
        <w:numPr>
          <w:ilvl w:val="0"/>
          <w:numId w:val="3"/>
        </w:numPr>
        <w:spacing w:after="110" w:line="276"/>
      </w:pPr>
      <w:r>
        <w:rPr>
          <w:sz w:val="21"/>
          <w:szCs w:val="21"/>
        </w:rPr>
        <w:t xml:space="preserve">Is any change required for clients contracting from outside India, including currency, enforcement and export-of-services considerations?</w:t>
      </w:r>
    </w:p>
    <w:p>
      <w:pPr>
        <w:pStyle w:val="Heading1"/>
        <w:spacing w:after="160" w:before="360"/>
      </w:pPr>
      <w:r>
        <w:t xml:space="preserve">4. How these terms are used</w:t>
      </w:r>
    </w:p>
    <w:p>
      <w:pPr>
        <w:spacing w:after="140" w:line="276"/>
      </w:pPr>
      <w:r>
        <w:rPr>
          <w:b w:val="false"/>
          <w:bCs w:val="false"/>
          <w:i w:val="false"/>
          <w:iCs w:val="false"/>
          <w:color w:val="222222"/>
          <w:sz w:val="21"/>
          <w:szCs w:val="21"/>
        </w:rPr>
        <w:t xml:space="preserve">A shortened, plain-English version of these terms is published on our website at clicknlikes.com/terms, and the full terms are intended to be attached to or referenced by each written proposal. We would be grateful for your confirmation that both the published summary and the full terms are appropriate, and for a marked-up version we can adopt.</w:t>
      </w:r>
    </w:p>
    <w:p>
      <w:pPr>
        <w:pBdr>
          <w:top w:val="single" w:color="D8DEE8" w:sz="8" w:space="8"/>
        </w:pBdr>
        <w:spacing w:before="300"/>
      </w:pPr>
      <w:r>
        <w:rPr>
          <w:color w:val="5A6B85"/>
          <w:sz w:val="19"/>
          <w:szCs w:val="19"/>
        </w:rPr>
        <w:t xml:space="preserve">Click.n.likes  ·  business@clicknlikes.com  ·  clicknlikes.com</w:t>
      </w:r>
    </w:p>
    <w:sectPr>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A2B4A"/>
      <w:sz w:val="30"/>
      <w:szCs w:val="30"/>
    </w:rPr>
  </w:style>
  <w:style w:type="paragraph" w:styleId="Heading2">
    <w:name w:val="Heading 2"/>
    <w:basedOn w:val="Normal"/>
    <w:next w:val="Normal"/>
    <w:qFormat/>
    <w:pPr>
      <w:spacing w:after="110" w:before="260"/>
    </w:pPr>
    <w:rPr>
      <w:rFonts w:ascii="Calibri" w:cs="Calibri" w:eastAsia="Calibri" w:hAnsi="Calibri"/>
      <w:b/>
      <w:bCs/>
      <w:color w:val="2C8F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Click.n.likes — Terms of Service (draft for legal review)</dc:title>
  <dc:creator>Click.n.likes</dc:creator>
  <dc:description>Draft client-engagement terms prepared for solicitor review.</dc:description>
  <cp:lastModifiedBy>Un-named</cp:lastModifiedBy>
  <cp:revision>1</cp:revision>
  <dcterms:created xsi:type="dcterms:W3CDTF">2026-07-27T05:59:04.589Z</dcterms:created>
  <dcterms:modified xsi:type="dcterms:W3CDTF">2026-07-27T05:59:04.589Z</dcterms:modified>
</cp:coreProperties>
</file>

<file path=docProps/custom.xml><?xml version="1.0" encoding="utf-8"?>
<Properties xmlns="http://schemas.openxmlformats.org/officeDocument/2006/custom-properties" xmlns:vt="http://schemas.openxmlformats.org/officeDocument/2006/docPropsVTypes"/>
</file>