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C8F88"/>
          <w:spacing w:val="60"/>
          <w:sz w:val="20"/>
          <w:szCs w:val="20"/>
        </w:rPr>
        <w:t xml:space="preserve">CLICK.N.LIKES</w:t>
      </w:r>
    </w:p>
    <w:p>
      <w:pPr>
        <w:spacing w:after="60"/>
      </w:pPr>
      <w:r>
        <w:rPr>
          <w:b/>
          <w:bCs/>
          <w:color w:val="1A2B4A"/>
          <w:sz w:val="44"/>
          <w:szCs w:val="44"/>
        </w:rPr>
        <w:t xml:space="preserve">Website Terms of Use</w:t>
      </w:r>
    </w:p>
    <w:p>
      <w:pPr>
        <w:pBdr>
          <w:bottom w:val="single" w:color="D8DEE8" w:sz="8" w:space="8"/>
        </w:pBdr>
        <w:spacing w:after="220"/>
      </w:pPr>
      <w:r>
        <w:rPr>
          <w:color w:val="5A6B85"/>
          <w:sz w:val="22"/>
          <w:szCs w:val="22"/>
        </w:rPr>
        <w:t xml:space="preserve">The public plain-English summary published at clicknlikes.com/terms — DRAFT for legal review</w:t>
      </w:r>
    </w:p>
    <w:p>
      <w:pPr>
        <w:spacing w:after="140" w:line="280"/>
      </w:pPr>
      <w:r>
        <w:rPr>
          <w:b w:val="false"/>
          <w:bCs w:val="false"/>
          <w:i w:val="false"/>
          <w:iCs w:val="false"/>
          <w:color w:val="5A6B85"/>
          <w:sz w:val="21"/>
          <w:szCs w:val="21"/>
        </w:rPr>
        <w:t xml:space="preserve">Version: July 2026 draft.  This is document 1 of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6"/>
              <w:left w:val="single" w:color="B03A2E" w:sz="18"/>
              <w:bottom w:val="single" w:color="E0E0E0" w:sz="6"/>
              <w:right w:val="single" w:color="E0E0E0" w:sz="6"/>
            </w:tcBorders>
            <w:shd w:fill="FDF3F2" w:val="clear"/>
            <w:tcMar>
              <w:top w:type="dxa" w:w="160"/>
              <w:left w:type="dxa" w:w="200"/>
              <w:bottom w:type="dxa" w:w="160"/>
              <w:right w:type="dxa" w:w="200"/>
            </w:tcMar>
          </w:tcPr>
          <w:p>
            <w:pPr>
              <w:spacing w:line="280"/>
            </w:pPr>
            <w:r>
              <w:rPr>
                <w:b/>
                <w:bCs/>
                <w:color w:val="B03A2E"/>
                <w:sz w:val="21"/>
                <w:szCs w:val="21"/>
              </w:rPr>
              <w:t xml:space="preserve">WHY THIS NEEDS REVIEWING TOO: </w:t>
            </w:r>
            <w:r>
              <w:rPr>
                <w:sz w:val="21"/>
                <w:szCs w:val="21"/>
              </w:rPr>
              <w:t xml:space="preserve">This is the page every visitor and prospective client actually reads. It summarises the same commercial position as the Master Services Agreement in plain language. Please check that nothing here contradicts, understates or over-promises relative to the Agreement, and that the summary itself does not create representations we would not want to be held to. Where the two differ, we intend the Agreement to govern.</w:t>
            </w:r>
          </w:p>
        </w:tc>
      </w:tr>
    </w:tbl>
    <w:p>
      <w:pPr>
        <w:pStyle w:val="Heading1"/>
        <w:spacing w:after="150" w:before="340"/>
      </w:pPr>
      <w:r>
        <w:rPr>
          <w:b/>
          <w:bCs/>
          <w:color w:val="1A2B4A"/>
          <w:sz w:val="26"/>
          <w:szCs w:val="26"/>
        </w:rPr>
        <w:t xml:space="preserve">How our three documents fit together</w:t>
      </w:r>
    </w:p>
    <w:p>
      <w:pPr>
        <w:spacing w:after="140" w:line="280"/>
      </w:pPr>
      <w:r>
        <w:rPr>
          <w:b w:val="false"/>
          <w:bCs w:val="false"/>
          <w:i w:val="false"/>
          <w:iCs w:val="false"/>
          <w:color w:val="222222"/>
          <w:sz w:val="21"/>
          <w:szCs w:val="21"/>
        </w:rPr>
        <w:t xml:space="preserve">1.  Website Terms of Use — this document. Published openly, written to be read and understood by anyone.</w:t>
      </w:r>
    </w:p>
    <w:p>
      <w:pPr>
        <w:spacing w:after="140" w:line="280"/>
      </w:pPr>
      <w:r>
        <w:rPr>
          <w:b w:val="false"/>
          <w:bCs w:val="false"/>
          <w:i w:val="false"/>
          <w:iCs w:val="false"/>
          <w:color w:val="222222"/>
          <w:sz w:val="21"/>
          <w:szCs w:val="21"/>
        </w:rPr>
        <w:t xml:space="preserve">2.  Master Services Agreement — the full legal terms, forming part of every proposal.</w:t>
      </w:r>
    </w:p>
    <w:p>
      <w:pPr>
        <w:spacing w:after="140" w:line="280"/>
      </w:pPr>
      <w:r>
        <w:rPr>
          <w:b w:val="false"/>
          <w:bCs w:val="false"/>
          <w:i w:val="false"/>
          <w:iCs w:val="false"/>
          <w:color w:val="222222"/>
          <w:sz w:val="21"/>
          <w:szCs w:val="21"/>
        </w:rPr>
        <w:t xml:space="preserve">3.  Proposal &amp; Statement of Work — the client-specific commercial detail: services, tiers, volumes, fees, term.</w:t>
      </w:r>
    </w:p>
    <w:p>
      <w:pPr>
        <w:spacing w:after="140" w:line="280"/>
      </w:pPr>
      <w:r>
        <w:rPr>
          <w:b w:val="false"/>
          <w:bCs w:val="false"/>
          <w:i w:val="false"/>
          <w:iCs w:val="false"/>
          <w:color w:val="222222"/>
          <w:sz w:val="21"/>
          <w:szCs w:val="21"/>
        </w:rPr>
        <w:t xml:space="preserve">Where the Proposal and the Agreement conflict on a commercial point, the Proposal prevails; on a legal point, the Agreement prevails. This page is a summary and does not override either.</w:t>
      </w:r>
    </w:p>
    <w:p>
      <w:pPr>
        <w:pStyle w:val="Heading1"/>
        <w:spacing w:after="150" w:before="340"/>
      </w:pPr>
      <w:r>
        <w:rPr>
          <w:b/>
          <w:bCs/>
          <w:color w:val="1A2B4A"/>
          <w:sz w:val="26"/>
          <w:szCs w:val="26"/>
        </w:rPr>
        <w:t xml:space="preserve">The published page, as it currently reads</w:t>
      </w:r>
    </w:p>
    <w:p>
      <w:pPr>
        <w:spacing w:after="90" w:before="240"/>
      </w:pPr>
      <w:r>
        <w:rPr>
          <w:b/>
          <w:bCs/>
          <w:color w:val="2C8F88"/>
          <w:sz w:val="23"/>
          <w:szCs w:val="23"/>
        </w:rPr>
        <w:t xml:space="preserve">Free tools &amp; scores</w:t>
      </w:r>
    </w:p>
    <w:p>
      <w:pPr>
        <w:spacing w:after="140" w:line="280"/>
      </w:pPr>
      <w:r>
        <w:rPr>
          <w:b w:val="false"/>
          <w:bCs w:val="false"/>
          <w:i w:val="false"/>
          <w:iCs w:val="false"/>
          <w:color w:val="222222"/>
          <w:sz w:val="21"/>
          <w:szCs w:val="21"/>
        </w:rPr>
        <w:t xml:space="preserve">Our free tools produce directional estimates from a documented, transparent scoring model, using either data fetched live from a page you submit or answers you self-report, and each result is labelled which. They are not a substitute for a full professional audit and carry no guarantee of outcomes.</w:t>
      </w:r>
    </w:p>
    <w:p>
      <w:pPr>
        <w:spacing w:after="90" w:before="240"/>
      </w:pPr>
      <w:r>
        <w:rPr>
          <w:b/>
          <w:bCs/>
          <w:color w:val="2C8F88"/>
          <w:sz w:val="23"/>
          <w:szCs w:val="23"/>
        </w:rPr>
        <w:t xml:space="preserve">Quotations</w:t>
      </w:r>
    </w:p>
    <w:p>
      <w:pPr>
        <w:spacing w:after="140" w:line="280"/>
      </w:pPr>
      <w:r>
        <w:rPr>
          <w:b w:val="false"/>
          <w:bCs w:val="false"/>
          <w:i w:val="false"/>
          <w:iCs w:val="false"/>
          <w:color w:val="222222"/>
          <w:sz w:val="21"/>
          <w:szCs w:val="21"/>
        </w:rPr>
        <w:t xml:space="preserve">Prices generated by the plan builder are genuine and current, but they are indicative starting points. Final scope and pricing are confirmed in a written proposal before any engagement begins. Ad spend on paid platforms is always billed directly by the platform, never through us.</w:t>
      </w:r>
    </w:p>
    <w:p>
      <w:pPr>
        <w:spacing w:after="90" w:before="240"/>
      </w:pPr>
      <w:r>
        <w:rPr>
          <w:b/>
          <w:bCs/>
          <w:color w:val="2C8F88"/>
          <w:sz w:val="23"/>
          <w:szCs w:val="23"/>
        </w:rPr>
        <w:t xml:space="preserve">Fees &amp; payment</w:t>
      </w:r>
    </w:p>
    <w:p>
      <w:pPr>
        <w:spacing w:after="140" w:line="280"/>
      </w:pPr>
      <w:r>
        <w:rPr>
          <w:b w:val="false"/>
          <w:bCs w:val="false"/>
          <w:i w:val="false"/>
          <w:iCs w:val="false"/>
          <w:color w:val="222222"/>
          <w:sz w:val="21"/>
          <w:szCs w:val="21"/>
        </w:rPr>
        <w:t xml:space="preserve">Fees are as set out in your written proposal, in the currency stated there (our base currency is INR; other currencies are shown at the prevailing rate and confirmed in the proposal). Your term is invoiced once, in advance, before work begins; one-time projects are typically 50% to begin and 50% on delivery. Invoices are due within 7 days. All fees are exclusive of tax. We are not currently registered for GST, so no GST is charged; if that changes, it will be added at the prevailing rate and shown separately.</w:t>
      </w:r>
    </w:p>
    <w:p>
      <w:pPr>
        <w:spacing w:after="90" w:before="240"/>
      </w:pPr>
      <w:r>
        <w:rPr>
          <w:b/>
          <w:bCs/>
          <w:color w:val="2C8F88"/>
          <w:sz w:val="23"/>
          <w:szCs w:val="23"/>
        </w:rPr>
        <w:t xml:space="preserve">Costs that are your own</w:t>
      </w:r>
    </w:p>
    <w:p>
      <w:pPr>
        <w:spacing w:after="140" w:line="280"/>
      </w:pPr>
      <w:r>
        <w:rPr>
          <w:b w:val="false"/>
          <w:bCs w:val="false"/>
          <w:i w:val="false"/>
          <w:iCs w:val="false"/>
          <w:color w:val="222222"/>
          <w:sz w:val="21"/>
          <w:szCs w:val="21"/>
        </w:rPr>
        <w:t xml:space="preserve">Advertising spend, your domain, hosting and any CMS or plugin licences, premium stock, fonts or third-party tools, and photo/video shoot production are your own costs, paid directly by you, and are not included in our fees.</w:t>
      </w:r>
    </w:p>
    <w:p>
      <w:pPr>
        <w:spacing w:after="90" w:before="240"/>
      </w:pPr>
      <w:r>
        <w:rPr>
          <w:b/>
          <w:bCs/>
          <w:color w:val="2C8F88"/>
          <w:sz w:val="23"/>
          <w:szCs w:val="23"/>
        </w:rPr>
        <w:t xml:space="preserve">Your term, and the free months</w:t>
      </w:r>
    </w:p>
    <w:p>
      <w:pPr>
        <w:spacing w:after="140" w:line="280"/>
      </w:pPr>
      <w:r>
        <w:rPr>
          <w:b w:val="false"/>
          <w:bCs w:val="false"/>
          <w:i w:val="false"/>
          <w:iCs w:val="false"/>
          <w:color w:val="222222"/>
          <w:sz w:val="21"/>
          <w:szCs w:val="21"/>
        </w:rPr>
        <w:t xml:space="preserve">Monthly services run for the term you choose — 1, 3, 6 or 12 months — and the term is invoiced once, in advance, so neither of us spends the engagement chasing invoices. On a 6-month term you pay for 5 months and receive 6; on a 12-month term you pay for 10 and receive 12. The 15% multi-service discount applies when two or more services run together. Paying up front carries no risk to you: if we part ways early, every month you have paid for but not received is refunded in full, as set out under Refunds below.</w:t>
      </w:r>
    </w:p>
    <w:p>
      <w:pPr>
        <w:spacing w:after="90" w:before="240"/>
      </w:pPr>
      <w:r>
        <w:rPr>
          <w:b/>
          <w:bCs/>
          <w:color w:val="2C8F88"/>
          <w:sz w:val="23"/>
          <w:szCs w:val="23"/>
        </w:rPr>
        <w:t xml:space="preserve">Revisions &amp; approvals</w:t>
      </w:r>
    </w:p>
    <w:p>
      <w:pPr>
        <w:spacing w:after="140" w:line="280"/>
      </w:pPr>
      <w:r>
        <w:rPr>
          <w:b w:val="false"/>
          <w:bCs w:val="false"/>
          <w:i w:val="false"/>
          <w:iCs w:val="false"/>
          <w:color w:val="222222"/>
          <w:sz w:val="21"/>
          <w:szCs w:val="21"/>
        </w:rPr>
        <w:t xml:space="preserve">Deliverables include the revision rounds set out in your proposal; further revisions are quoted separately. We ask for timely feedback, approvals, access and materials, and client-side delays may move timelines accordingly.</w:t>
      </w:r>
    </w:p>
    <w:p>
      <w:pPr>
        <w:spacing w:after="90" w:before="240"/>
      </w:pPr>
      <w:r>
        <w:rPr>
          <w:b/>
          <w:bCs/>
          <w:color w:val="2C8F88"/>
          <w:sz w:val="23"/>
          <w:szCs w:val="23"/>
        </w:rPr>
        <w:t xml:space="preserve">If life gets in the way</w:t>
      </w:r>
    </w:p>
    <w:p>
      <w:pPr>
        <w:spacing w:after="140" w:line="280"/>
      </w:pPr>
      <w:r>
        <w:rPr>
          <w:b w:val="false"/>
          <w:bCs w:val="false"/>
          <w:i w:val="false"/>
          <w:iCs w:val="false"/>
          <w:color w:val="222222"/>
          <w:sz w:val="21"/>
          <w:szCs w:val="21"/>
        </w:rPr>
        <w:t xml:space="preserve">Work stalls sometimes, and we would rather you came back than lost money. If we have not heard from you for 30 days we will write and check in. You can pause the engagement once per term for up to 60 days, and the term simply extends by however long you pause — nothing is forfeited and nothing is charged for a paused month. If we hear nothing for 30 days after that check-in, we may end the engagement, in which case the month in progress is not refunded but every other prepaid month comes back to you. We never charge for a month in which we did no work.</w:t>
      </w:r>
    </w:p>
    <w:p>
      <w:pPr>
        <w:spacing w:after="90" w:before="240"/>
      </w:pPr>
      <w:r>
        <w:rPr>
          <w:b/>
          <w:bCs/>
          <w:color w:val="2C8F88"/>
          <w:sz w:val="23"/>
          <w:szCs w:val="23"/>
        </w:rPr>
        <w:t xml:space="preserve">Cancellation</w:t>
      </w:r>
    </w:p>
    <w:p>
      <w:pPr>
        <w:spacing w:after="140" w:line="280"/>
      </w:pPr>
      <w:r>
        <w:rPr>
          <w:b w:val="false"/>
          <w:bCs w:val="false"/>
          <w:i w:val="false"/>
          <w:iCs w:val="false"/>
          <w:color w:val="222222"/>
          <w:sz w:val="21"/>
          <w:szCs w:val="21"/>
        </w:rPr>
        <w:t xml:space="preserve">You may cancel at any time with 30 days’ written notice. We keep delivering through that notice period, and every prepaid month beyond it is refunded in full. There is no penalty, exit fee or recalculation of the months already delivered; you simply do not reach the free months at the end of the term. A one-time project may be cancelled before delivery with payment for the work completed to that point. We may cancel on the same 30 days’ notice, and if we do so for any reason other than your breach or non-payment we will refund everything paid for work not yet delivered and hand over all deliverables and access in a usable state. Either of us may end the engagement immediately for a material breach that is not put right within 14 days of written notice; where the breach is yours, we may also suspend work straight away while that runs its course, without giving up fees already earned.</w:t>
      </w:r>
    </w:p>
    <w:p>
      <w:pPr>
        <w:spacing w:after="90" w:before="240"/>
      </w:pPr>
      <w:r>
        <w:rPr>
          <w:b/>
          <w:bCs/>
          <w:color w:val="2C8F88"/>
          <w:sz w:val="23"/>
          <w:szCs w:val="23"/>
        </w:rPr>
        <w:t xml:space="preserve">Refunds</w:t>
      </w:r>
    </w:p>
    <w:p>
      <w:pPr>
        <w:spacing w:after="140" w:line="280"/>
      </w:pPr>
      <w:r>
        <w:rPr>
          <w:b w:val="false"/>
          <w:bCs w:val="false"/>
          <w:i w:val="false"/>
          <w:iCs w:val="false"/>
          <w:color w:val="222222"/>
          <w:sz w:val="21"/>
          <w:szCs w:val="21"/>
        </w:rPr>
        <w:t xml:space="preserve">Because your term is paid up front, this matters, so we spell out every case. Fees for work already delivered are never refundable. If you end the engagement on notice and we are not in breach, we deliver through the notice period and that fee stands, and any prepaid month that has not yet started comes back to you within 14 working days. If we end the engagement because of a material breach or non-payment on your side, the month in progress is not refunded, because its capacity and work are already committed, and any prepaid month that has not yet started is still returned to you within 14 working days. If we end the engagement for any reason of our own, everything paid for and not delivered is refunded in full. Advertising budget, domains, hosting, licences and third-party tools are bought in your own name and follow that provider’s own refund terms. And if a deliverable does not match what your proposal describes, tell us within 14 days and we will put it right at our cost, as a priority.</w:t>
      </w:r>
    </w:p>
    <w:p>
      <w:pPr>
        <w:spacing w:after="90" w:before="240"/>
      </w:pPr>
      <w:r>
        <w:rPr>
          <w:b/>
          <w:bCs/>
          <w:color w:val="2C8F88"/>
          <w:sz w:val="23"/>
          <w:szCs w:val="23"/>
        </w:rPr>
        <w:t xml:space="preserve">Ownership of the work</w:t>
      </w:r>
    </w:p>
    <w:p>
      <w:pPr>
        <w:spacing w:after="140" w:line="280"/>
      </w:pPr>
      <w:r>
        <w:rPr>
          <w:b w:val="false"/>
          <w:bCs w:val="false"/>
          <w:i w:val="false"/>
          <w:iCs w:val="false"/>
          <w:color w:val="222222"/>
          <w:sz w:val="21"/>
          <w:szCs w:val="21"/>
        </w:rPr>
        <w:t xml:space="preserve">On full payment, the final deliverables we create for you become yours. We keep our own pre-existing tools, methods and templates, and we may show non-confidential work in our portfolio unless you ask us not to.</w:t>
      </w:r>
    </w:p>
    <w:p>
      <w:pPr>
        <w:spacing w:after="90" w:before="240"/>
      </w:pPr>
      <w:r>
        <w:rPr>
          <w:b/>
          <w:bCs/>
          <w:color w:val="2C8F88"/>
          <w:sz w:val="23"/>
          <w:szCs w:val="23"/>
        </w:rPr>
        <w:t xml:space="preserve">What we guarantee, and what nobody can</w:t>
      </w:r>
    </w:p>
    <w:p>
      <w:pPr>
        <w:spacing w:after="140" w:line="280"/>
      </w:pPr>
      <w:r>
        <w:rPr>
          <w:b w:val="false"/>
          <w:bCs w:val="false"/>
          <w:i w:val="false"/>
          <w:iCs w:val="false"/>
          <w:color w:val="222222"/>
          <w:sz w:val="21"/>
          <w:szCs w:val="21"/>
        </w:rPr>
        <w:t xml:space="preserve">We guarantee the work. Everything set out in your proposal gets delivered to the agreed volumes and timelines, to a professional standard; we report honestly against the leads and enquiries generated rather than vanity metrics; we label clearly which findings are verified from live data and which are self-reported; and you always know what has been done and what is next. What no agency can guarantee is a specific ranking, traffic, lead or revenue figure, because those are decided by search and AI ranking systems, ad platforms, your competitors and your own market. Any agency promising you a number is guessing, and we would rather be the one that tells you so.</w:t>
      </w:r>
    </w:p>
    <w:p>
      <w:pPr>
        <w:spacing w:after="90" w:before="240"/>
      </w:pPr>
      <w:r>
        <w:rPr>
          <w:b/>
          <w:bCs/>
          <w:color w:val="2C8F88"/>
          <w:sz w:val="23"/>
          <w:szCs w:val="23"/>
        </w:rPr>
        <w:t xml:space="preserve">Limitation of liability</w:t>
      </w:r>
    </w:p>
    <w:p>
      <w:pPr>
        <w:spacing w:after="140" w:line="280"/>
      </w:pPr>
      <w:r>
        <w:rPr>
          <w:b w:val="false"/>
          <w:bCs w:val="false"/>
          <w:i w:val="false"/>
          <w:iCs w:val="false"/>
          <w:color w:val="222222"/>
          <w:sz w:val="21"/>
          <w:szCs w:val="21"/>
        </w:rPr>
        <w:t xml:space="preserve">To the maximum extent permitted by law, we are not liable for any indirect or consequential loss, including lost revenue, profits or business, and our total liability for any claim is limited to the fees paid to us for the services in the three months before the claim.</w:t>
      </w:r>
    </w:p>
    <w:p>
      <w:pPr>
        <w:spacing w:after="90" w:before="240"/>
      </w:pPr>
      <w:r>
        <w:rPr>
          <w:b/>
          <w:bCs/>
          <w:color w:val="2C8F88"/>
          <w:sz w:val="23"/>
          <w:szCs w:val="23"/>
        </w:rPr>
        <w:t xml:space="preserve">Governing law</w:t>
      </w:r>
    </w:p>
    <w:p>
      <w:pPr>
        <w:spacing w:after="140" w:line="280"/>
      </w:pPr>
      <w:r>
        <w:rPr>
          <w:b w:val="false"/>
          <w:bCs w:val="false"/>
          <w:i w:val="false"/>
          <w:iCs w:val="false"/>
          <w:color w:val="222222"/>
          <w:sz w:val="21"/>
          <w:szCs w:val="21"/>
        </w:rPr>
        <w:t xml:space="preserve">These terms and any engagement under them are governed by the laws of India and are subject to the jurisdiction of the competent courts of India. Where a signed proposal or agreement covers a point differently, that document takes precedence.</w:t>
      </w:r>
    </w:p>
    <w:p>
      <w:pPr>
        <w:spacing w:after="90" w:before="240"/>
      </w:pPr>
      <w:r>
        <w:rPr>
          <w:b/>
          <w:bCs/>
          <w:color w:val="2C8F88"/>
          <w:sz w:val="23"/>
          <w:szCs w:val="23"/>
        </w:rPr>
        <w:t xml:space="preserve">Content of this site</w:t>
      </w:r>
    </w:p>
    <w:p>
      <w:pPr>
        <w:spacing w:after="140" w:line="280"/>
      </w:pPr>
      <w:r>
        <w:rPr>
          <w:b w:val="false"/>
          <w:bCs w:val="false"/>
          <w:i w:val="false"/>
          <w:iCs w:val="false"/>
          <w:color w:val="222222"/>
          <w:sz w:val="21"/>
          <w:szCs w:val="21"/>
        </w:rPr>
        <w:t xml:space="preserve">All content, tools and design on clicknlikes.com belong to Click.n.likes. You're welcome to link to anything, but please do not republish our tools or content as your own.</w:t>
      </w:r>
    </w:p>
    <w:p>
      <w:pPr>
        <w:spacing w:after="90" w:before="240"/>
      </w:pPr>
      <w:r>
        <w:rPr>
          <w:b/>
          <w:bCs/>
          <w:color w:val="2C8F88"/>
          <w:sz w:val="23"/>
          <w:szCs w:val="23"/>
        </w:rPr>
        <w:t xml:space="preserve">The full agreement</w:t>
      </w:r>
    </w:p>
    <w:p>
      <w:pPr>
        <w:spacing w:after="140" w:line="280"/>
      </w:pPr>
      <w:r>
        <w:rPr>
          <w:b w:val="false"/>
          <w:bCs w:val="false"/>
          <w:i w:val="false"/>
          <w:iCs w:val="false"/>
          <w:color w:val="222222"/>
          <w:sz w:val="21"/>
          <w:szCs w:val="21"/>
        </w:rPr>
        <w:t xml:space="preserve">This page summarises the terms that matter to most people. The complete legal terms are set out in our Master Services Agreement, which covers intellectual property, confidentiality, data protection, indemnities, liability, subcontracting and our use of AI-assisted tools in delivery. It forms part of every proposal we send, so you always receive it before you commit to anything. Ask us and we will send you a copy at any time.</w:t>
      </w:r>
    </w:p>
    <w:p>
      <w:pPr>
        <w:spacing w:after="90" w:before="240"/>
      </w:pPr>
      <w:r>
        <w:rPr>
          <w:b/>
          <w:bCs/>
          <w:color w:val="2C8F88"/>
          <w:sz w:val="23"/>
          <w:szCs w:val="23"/>
        </w:rPr>
        <w:t xml:space="preserve">Questions</w:t>
      </w:r>
    </w:p>
    <w:p>
      <w:pPr>
        <w:spacing w:after="140" w:line="280"/>
      </w:pPr>
      <w:r>
        <w:rPr>
          <w:b w:val="false"/>
          <w:bCs w:val="false"/>
          <w:i/>
          <w:iCs/>
          <w:color w:val="5A6B85"/>
          <w:sz w:val="21"/>
          <w:szCs w:val="21"/>
        </w:rPr>
        <w:t xml:space="preserve">(This section links visitors to our contact details.)</w:t>
      </w:r>
    </w:p>
    <w:p>
      <w:pPr>
        <w:pStyle w:val="Heading1"/>
        <w:spacing w:after="150" w:before="340"/>
      </w:pPr>
      <w:r>
        <w:rPr>
          <w:b/>
          <w:bCs/>
          <w:color w:val="1A2B4A"/>
          <w:sz w:val="26"/>
          <w:szCs w:val="26"/>
        </w:rPr>
        <w:t xml:space="preserve">Questions for counsel on this document</w:t>
      </w:r>
    </w:p>
    <w:p>
      <w:pPr>
        <w:pStyle w:val="ListParagraph"/>
        <w:numPr>
          <w:ilvl w:val="0"/>
          <w:numId w:val="2"/>
        </w:numPr>
        <w:spacing w:after="110" w:line="280"/>
      </w:pPr>
      <w:r>
        <w:rPr>
          <w:sz w:val="21"/>
          <w:szCs w:val="21"/>
        </w:rPr>
        <w:t xml:space="preserve">Does anything in this summary contradict, understate or over-promise relative to the Master Services Agreement?</w:t>
      </w:r>
    </w:p>
    <w:p>
      <w:pPr>
        <w:pStyle w:val="ListParagraph"/>
        <w:numPr>
          <w:ilvl w:val="0"/>
          <w:numId w:val="2"/>
        </w:numPr>
        <w:spacing w:after="110" w:line="280"/>
      </w:pPr>
      <w:r>
        <w:rPr>
          <w:sz w:val="21"/>
          <w:szCs w:val="21"/>
        </w:rPr>
        <w:t xml:space="preserve">Does the plain-English style create any representation we would not want to be held to, particularly in "What we guarantee, and what nobody can" and in "Refunds"?</w:t>
      </w:r>
    </w:p>
    <w:p>
      <w:pPr>
        <w:pStyle w:val="ListParagraph"/>
        <w:numPr>
          <w:ilvl w:val="0"/>
          <w:numId w:val="2"/>
        </w:numPr>
        <w:spacing w:after="110" w:line="280"/>
      </w:pPr>
      <w:r>
        <w:rPr>
          <w:sz w:val="21"/>
          <w:szCs w:val="21"/>
        </w:rPr>
        <w:t xml:space="preserve">Is it sufficient for this page to state that the Master Services Agreement contains the full terms, or should the page incorporate the Agreement by reference more formally?</w:t>
      </w:r>
    </w:p>
    <w:p>
      <w:pPr>
        <w:pStyle w:val="ListParagraph"/>
        <w:numPr>
          <w:ilvl w:val="0"/>
          <w:numId w:val="2"/>
        </w:numPr>
        <w:spacing w:after="110" w:line="280"/>
      </w:pPr>
      <w:r>
        <w:rPr>
          <w:sz w:val="21"/>
          <w:szCs w:val="21"/>
        </w:rPr>
        <w:t xml:space="preserve">Do we need a separate website terms of use covering browsing, acceptable use and the free tools, distinct from these engagement terms?</w:t>
      </w:r>
    </w:p>
    <w:p>
      <w:pPr>
        <w:pStyle w:val="ListParagraph"/>
        <w:numPr>
          <w:ilvl w:val="0"/>
          <w:numId w:val="2"/>
        </w:numPr>
        <w:spacing w:after="110" w:line="280"/>
      </w:pPr>
      <w:r>
        <w:rPr>
          <w:sz w:val="21"/>
          <w:szCs w:val="21"/>
        </w:rPr>
        <w:t xml:space="preserve">Is a separate privacy policy and cookie notice required alongside this page under the DPDP Act, 2023, and is our free-tools disclaimer adequate given we fetch and analyse pages a visitor submits?</w:t>
      </w:r>
    </w:p>
    <w:p>
      <w:pPr>
        <w:pStyle w:val="ListParagraph"/>
        <w:numPr>
          <w:ilvl w:val="0"/>
          <w:numId w:val="2"/>
        </w:numPr>
        <w:spacing w:after="110" w:line="280"/>
      </w:pPr>
      <w:r>
        <w:rPr>
          <w:sz w:val="21"/>
          <w:szCs w:val="21"/>
        </w:rPr>
        <w:t xml:space="preserve">Should this page carry a "last updated" date and a version history for enforceability?</w:t>
      </w:r>
    </w:p>
    <w:sectPr>
      <w:pgSz w:w="11906" w:h="16838" w:orient="portrait"/>
      <w:pgMar w:top="1180" w:right="1080" w:bottom="11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pPr>
    <w:rPr>
      <w:rFonts w:ascii="Calibri" w:cs="Calibri" w:eastAsia="Calibri" w:hAnsi="Calibri"/>
      <w:b/>
      <w:bCs/>
      <w:color w:val="1A2B4A"/>
      <w:sz w:val="26"/>
      <w:szCs w:val="26"/>
    </w:rPr>
  </w:style>
  <w:style w:type="paragraph" w:styleId="Heading2">
    <w:name w:val="Heading 2"/>
    <w:basedOn w:val="Normal"/>
    <w:next w:val="Normal"/>
    <w:qFormat/>
    <w:pPr>
      <w:spacing w:after="110" w:before="240"/>
    </w:pPr>
    <w:rPr>
      <w:rFonts w:ascii="Calibri" w:cs="Calibri" w:eastAsia="Calibri" w:hAnsi="Calibri"/>
      <w:b/>
      <w:bCs/>
      <w:color w:val="2C8F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Click.n.likes — Website Terms of Use (draft for legal review)</dc:title>
  <dc:creator>Click.n.likes</dc:creator>
  <dc:description>Draft prepared for legal review.</dc:description>
  <cp:lastModifiedBy>Un-named</cp:lastModifiedBy>
  <cp:revision>1</cp:revision>
  <dcterms:created xsi:type="dcterms:W3CDTF">2026-07-27T11:07:49.427Z</dcterms:created>
  <dcterms:modified xsi:type="dcterms:W3CDTF">2026-07-27T11:07:49.427Z</dcterms:modified>
</cp:coreProperties>
</file>

<file path=docProps/custom.xml><?xml version="1.0" encoding="utf-8"?>
<Properties xmlns="http://schemas.openxmlformats.org/officeDocument/2006/custom-properties" xmlns:vt="http://schemas.openxmlformats.org/officeDocument/2006/docPropsVTypes"/>
</file>