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C8F88"/>
          <w:spacing w:val="60"/>
          <w:sz w:val="20"/>
          <w:szCs w:val="20"/>
        </w:rPr>
        <w:t xml:space="preserve">CLICK.N.LIKES</w:t>
      </w:r>
    </w:p>
    <w:p>
      <w:pPr>
        <w:spacing w:after="60"/>
      </w:pPr>
      <w:r>
        <w:rPr>
          <w:b/>
          <w:bCs/>
          <w:color w:val="1A2B4A"/>
          <w:sz w:val="44"/>
          <w:szCs w:val="44"/>
        </w:rPr>
        <w:t xml:space="preserve">Terms of Service</w:t>
      </w:r>
    </w:p>
    <w:p>
      <w:pPr>
        <w:pBdr>
          <w:bottom w:val="single" w:color="D8DEE8" w:sz="8" w:space="8"/>
        </w:pBdr>
        <w:spacing w:after="200"/>
      </w:pPr>
      <w:r>
        <w:rPr>
          <w:color w:val="5A6B85"/>
          <w:sz w:val="22"/>
          <w:szCs w:val="22"/>
        </w:rPr>
        <w:t xml:space="preserve">Client engagement terms — DRAFT for legal review</w:t>
      </w:r>
    </w:p>
    <w:p>
      <w:pPr>
        <w:spacing w:after="140" w:line="276"/>
      </w:pPr>
      <w:r>
        <w:rPr>
          <w:b w:val="false"/>
          <w:bCs w:val="false"/>
          <w:i w:val="false"/>
          <w:iCs w:val="false"/>
          <w:color w:val="5A6B85"/>
          <w:sz w:val="21"/>
          <w:szCs w:val="21"/>
        </w:rPr>
        <w:t xml:space="preserve">Prepared by: Click.n.likes, Ahmedabad &amp; Mumbai, India. Version: July 2026 draft. Base currency: INR.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4BE" w:sz="6"/>
              <w:left w:val="single" w:color="B03A2E" w:sz="18"/>
              <w:bottom w:val="single" w:color="E8C4BE" w:sz="6"/>
              <w:right w:val="single" w:color="E8C4BE" w:sz="6"/>
            </w:tcBorders>
            <w:shd w:fill="FDF3F2" w:val="clear"/>
            <w:tcMar>
              <w:top w:type="dxa" w:w="160"/>
              <w:left w:type="dxa" w:w="200"/>
              <w:bottom w:type="dxa" w:w="160"/>
              <w:right w:type="dxa" w:w="200"/>
            </w:tcMar>
          </w:tcPr>
          <w:p>
            <w:pPr>
              <w:spacing w:line="276"/>
            </w:pPr>
            <w:r>
              <w:rPr>
                <w:b/>
                <w:bCs/>
                <w:color w:val="B03A2E"/>
                <w:sz w:val="21"/>
                <w:szCs w:val="21"/>
              </w:rPr>
              <w:t xml:space="preserve">FOR REVIEW: </w:t>
            </w:r>
            <w:r>
              <w:rPr>
                <w:sz w:val="21"/>
                <w:szCs w:val="21"/>
              </w:rPr>
              <w:t xml:space="preserve">This is a plain-English draft prepared by the business, not by a legal professional. It has not been reviewed against the Indian Contract Act, 1872, the Information Technology Act, 2000, consumer protection legislation, or applicable GST/tax rules. Please review, correct and adapt it before it is published or relied upon.</w:t>
            </w:r>
          </w:p>
        </w:tc>
      </w:tr>
    </w:tbl>
    <w:p>
      <w:pPr>
        <w:pStyle w:val="Heading1"/>
        <w:spacing w:after="160" w:before="360"/>
      </w:pPr>
      <w:r>
        <w:t xml:space="preserve">1. Business context</w:t>
      </w:r>
    </w:p>
    <w:p>
      <w:pPr>
        <w:spacing w:after="140" w:line="276"/>
      </w:pPr>
      <w:r>
        <w:rPr>
          <w:b w:val="false"/>
          <w:bCs w:val="false"/>
          <w:i w:val="false"/>
          <w:iCs w:val="false"/>
          <w:color w:val="222222"/>
          <w:sz w:val="21"/>
          <w:szCs w:val="21"/>
        </w:rPr>
        <w:t xml:space="preserve">Click.n.likes is a solo-operated digital marketing agency based in Ahmedabad and Mumbai, serving clients in India and internationally. Services are sold as monthly retainers (SEO, Local SEO, AI SEO, Social Media, Content, Paid Campaigns) and as one-time projects (Website Development).</w:t>
      </w:r>
    </w:p>
    <w:p>
      <w:pPr>
        <w:spacing w:after="140" w:line="276"/>
      </w:pPr>
      <w:r>
        <w:rPr>
          <w:b w:val="false"/>
          <w:bCs w:val="false"/>
          <w:i w:val="false"/>
          <w:iCs w:val="false"/>
          <w:color w:val="222222"/>
          <w:sz w:val="21"/>
          <w:szCs w:val="21"/>
        </w:rPr>
        <w:t xml:space="preserve">Key commercial features these terms need to support:</w:t>
      </w:r>
    </w:p>
    <w:p>
      <w:pPr>
        <w:pStyle w:val="ListParagraph"/>
        <w:numPr>
          <w:ilvl w:val="0"/>
          <w:numId w:val="2"/>
        </w:numPr>
        <w:spacing w:after="90" w:line="276"/>
      </w:pPr>
      <w:r>
        <w:rPr>
          <w:sz w:val="21"/>
          <w:szCs w:val="21"/>
        </w:rPr>
        <w:t xml:space="preserve">Published pricing with three tiers per service plus a custom option; the figure on the website is indicative and is confirmed in a written proposal.</w:t>
      </w:r>
    </w:p>
    <w:p>
      <w:pPr>
        <w:pStyle w:val="ListParagraph"/>
        <w:numPr>
          <w:ilvl w:val="0"/>
          <w:numId w:val="2"/>
        </w:numPr>
        <w:spacing w:after="90" w:line="276"/>
      </w:pPr>
      <w:r>
        <w:rPr>
          <w:sz w:val="21"/>
          <w:szCs w:val="21"/>
        </w:rPr>
        <w:t xml:space="preserve">A 15% discount when two or more services are engaged together.</w:t>
      </w:r>
    </w:p>
    <w:p>
      <w:pPr>
        <w:pStyle w:val="ListParagraph"/>
        <w:numPr>
          <w:ilvl w:val="0"/>
          <w:numId w:val="2"/>
        </w:numPr>
        <w:spacing w:after="90" w:line="276"/>
      </w:pPr>
      <w:r>
        <w:rPr>
          <w:sz w:val="21"/>
          <w:szCs w:val="21"/>
        </w:rPr>
        <w:t xml:space="preserve">Duration incentives: on a 6-month commitment the client pays for 5 months; on a 12-month commitment, 10 months.</w:t>
      </w:r>
    </w:p>
    <w:p>
      <w:pPr>
        <w:pStyle w:val="ListParagraph"/>
        <w:numPr>
          <w:ilvl w:val="0"/>
          <w:numId w:val="2"/>
        </w:numPr>
        <w:spacing w:after="90" w:line="276"/>
      </w:pPr>
      <w:r>
        <w:rPr>
          <w:sz w:val="21"/>
          <w:szCs w:val="21"/>
        </w:rPr>
        <w:t xml:space="preserve">Certain costs are never routed through the agency and are paid by the client directly: advertising spend, domain, hosting, CMS/plugin licences, premium stock/fonts/tools, and photo/video shoot production.</w:t>
      </w:r>
    </w:p>
    <w:p>
      <w:pPr>
        <w:pStyle w:val="ListParagraph"/>
        <w:numPr>
          <w:ilvl w:val="0"/>
          <w:numId w:val="2"/>
        </w:numPr>
        <w:spacing w:after="90" w:line="276"/>
      </w:pPr>
      <w:r>
        <w:rPr>
          <w:sz w:val="21"/>
          <w:szCs w:val="21"/>
        </w:rPr>
        <w:t xml:space="preserve">Prices are displayed in the visitor’s local currency for convenience but the engagement is billed in the base currency stated in the proposal.</w:t>
      </w:r>
    </w:p>
    <w:p>
      <w:pPr>
        <w:pStyle w:val="ListParagraph"/>
        <w:numPr>
          <w:ilvl w:val="0"/>
          <w:numId w:val="2"/>
        </w:numPr>
        <w:spacing w:after="90" w:line="276"/>
      </w:pPr>
      <w:r>
        <w:rPr>
          <w:sz w:val="21"/>
          <w:szCs w:val="21"/>
        </w:rPr>
        <w:t xml:space="preserve">Free self-serve tools on the website produce estimates from live-fetched or self-reported data, each labelled as such.</w:t>
      </w:r>
    </w:p>
    <w:p>
      <w:pPr>
        <w:pStyle w:val="Heading1"/>
        <w:spacing w:after="160" w:before="360"/>
      </w:pPr>
      <w:r>
        <w:t xml:space="preserve">2. Draft terms for review</w:t>
      </w:r>
    </w:p>
    <w:p>
      <w:pPr>
        <w:spacing w:after="140" w:line="276"/>
      </w:pPr>
      <w:r>
        <w:rPr>
          <w:b w:val="false"/>
          <w:bCs w:val="false"/>
          <w:i/>
          <w:iCs/>
          <w:color w:val="5A6B85"/>
          <w:sz w:val="21"/>
          <w:szCs w:val="21"/>
        </w:rPr>
        <w:t xml:space="preserve">The clauses below are the current draft. Please amend, expand or replace as required.</w:t>
      </w:r>
    </w:p>
    <w:p>
      <w:pPr>
        <w:spacing w:after="140" w:before="180" w:line="276"/>
      </w:pPr>
      <w:r>
        <w:rPr>
          <w:b/>
          <w:bCs/>
          <w:color w:val="1A2B4A"/>
          <w:sz w:val="21"/>
          <w:szCs w:val="21"/>
        </w:rPr>
        <w:t xml:space="preserve">1. Scope of services. </w:t>
      </w:r>
      <w:r>
        <w:rPr>
          <w:sz w:val="21"/>
          <w:szCs w:val="21"/>
        </w:rPr>
        <w:t xml:space="preserve">We provide the services set out in the client’s written proposal (“the Proposal”). Work falling outside the Proposal is out of scope and will be quoted separately before it is undertaken.</w:t>
      </w:r>
    </w:p>
    <w:p>
      <w:pPr>
        <w:spacing w:after="140" w:before="180" w:line="276"/>
      </w:pPr>
      <w:r>
        <w:rPr>
          <w:b/>
          <w:bCs/>
          <w:color w:val="1A2B4A"/>
          <w:sz w:val="21"/>
          <w:szCs w:val="21"/>
        </w:rPr>
        <w:t xml:space="preserve">2. Fees and payment. </w:t>
      </w:r>
      <w:r>
        <w:rPr>
          <w:sz w:val="21"/>
          <w:szCs w:val="21"/>
        </w:rPr>
        <w:t xml:space="preserve">Fees are as stated in the Proposal, in the currency stated there. Our base currency is INR; amounts displayed in other currencies on the website are indicative at the prevailing rate and are confirmed in the Proposal. Monthly services are invoiced in advance. One-time projects are typically invoiced 50% to commence and 50% on delivery unless the Proposal states otherwise. Invoices are payable within 7 days, and work on overdue accounts may be paused until payment is received.</w:t>
      </w:r>
    </w:p>
    <w:p>
      <w:pPr>
        <w:spacing w:after="140" w:before="180" w:line="276"/>
      </w:pPr>
      <w:r>
        <w:rPr>
          <w:b/>
          <w:bCs/>
          <w:color w:val="1A2B4A"/>
          <w:sz w:val="21"/>
          <w:szCs w:val="21"/>
        </w:rPr>
        <w:t xml:space="preserve">3. Taxes. </w:t>
      </w:r>
      <w:r>
        <w:rPr>
          <w:sz w:val="21"/>
          <w:szCs w:val="21"/>
        </w:rPr>
        <w:t xml:space="preserve">All fees are exclusive of GST and any other applicable taxes, duties or levies, which will be charged in addition at the prevailing rate. [Confirm GST treatment, place-of-supply rules for overseas clients, and any withholding/TDS position.]</w:t>
      </w:r>
    </w:p>
    <w:p>
      <w:pPr>
        <w:spacing w:after="140" w:before="180" w:line="276"/>
      </w:pPr>
      <w:r>
        <w:rPr>
          <w:b/>
          <w:bCs/>
          <w:color w:val="1A2B4A"/>
          <w:sz w:val="21"/>
          <w:szCs w:val="21"/>
        </w:rPr>
        <w:t xml:space="preserve">4. Costs payable by the client directly. </w:t>
      </w:r>
      <w:r>
        <w:rPr>
          <w:sz w:val="21"/>
          <w:szCs w:val="21"/>
        </w:rPr>
        <w:t xml:space="preserve">Advertising spend, the client’s domain, hosting and any CMS or plugin licences, premium stock, fonts or third-party tools, and photography/videography production are the client’s own costs. They are paid by the client directly to the relevant provider, are purchased in the client’s own name where applicable, and are not included in our fees.</w:t>
      </w:r>
    </w:p>
    <w:p>
      <w:pPr>
        <w:spacing w:after="140" w:before="180" w:line="276"/>
      </w:pPr>
      <w:r>
        <w:rPr>
          <w:b/>
          <w:bCs/>
          <w:color w:val="1A2B4A"/>
          <w:sz w:val="21"/>
          <w:szCs w:val="21"/>
        </w:rPr>
        <w:t xml:space="preserve">5. Multi-service discount and duration. </w:t>
      </w:r>
      <w:r>
        <w:rPr>
          <w:sz w:val="21"/>
          <w:szCs w:val="21"/>
        </w:rPr>
        <w:t xml:space="preserve">A discount of 15% applies where two or more services are engaged concurrently. On a six-month commitment the client is charged for five months, and on a twelve-month commitment the client is charged for ten months. Duration commitments run for the agreed term. Where a discounted term is ended early by the client, the discount applied to the months already delivered may be forfeited and become payable. [Please confirm this forfeiture mechanic is enforceable and drafted correctly.]</w:t>
      </w:r>
    </w:p>
    <w:p>
      <w:pPr>
        <w:spacing w:after="140" w:before="180" w:line="276"/>
      </w:pPr>
      <w:r>
        <w:rPr>
          <w:b/>
          <w:bCs/>
          <w:color w:val="1A2B4A"/>
          <w:sz w:val="21"/>
          <w:szCs w:val="21"/>
        </w:rPr>
        <w:t xml:space="preserve">6. Client responsibilities. </w:t>
      </w:r>
      <w:r>
        <w:rPr>
          <w:sz w:val="21"/>
          <w:szCs w:val="21"/>
        </w:rPr>
        <w:t xml:space="preserve">The client will provide timely feedback, approvals, content, brand assets and access to the accounts and platforms required to perform the services, and warrants that any material supplied to us does not infringe the rights of any third party. Delays attributable to the client may extend timelines accordingly.</w:t>
      </w:r>
    </w:p>
    <w:p>
      <w:pPr>
        <w:spacing w:after="140" w:before="180" w:line="276"/>
      </w:pPr>
      <w:r>
        <w:rPr>
          <w:b/>
          <w:bCs/>
          <w:color w:val="1A2B4A"/>
          <w:sz w:val="21"/>
          <w:szCs w:val="21"/>
        </w:rPr>
        <w:t xml:space="preserve">7. Revisions and approvals. </w:t>
      </w:r>
      <w:r>
        <w:rPr>
          <w:sz w:val="21"/>
          <w:szCs w:val="21"/>
        </w:rPr>
        <w:t xml:space="preserve">Deliverables include the number of revision rounds stated in the Proposal. Further revisions are quoted separately.</w:t>
      </w:r>
    </w:p>
    <w:p>
      <w:pPr>
        <w:spacing w:after="140" w:before="180" w:line="276"/>
      </w:pPr>
      <w:r>
        <w:rPr>
          <w:b/>
          <w:bCs/>
          <w:color w:val="1A2B4A"/>
          <w:sz w:val="21"/>
          <w:szCs w:val="21"/>
        </w:rPr>
        <w:t xml:space="preserve">8. Cancellation and termination. </w:t>
      </w:r>
      <w:r>
        <w:rPr>
          <w:sz w:val="21"/>
          <w:szCs w:val="21"/>
        </w:rPr>
        <w:t xml:space="preserve">Either party may terminate a monthly engagement on 30 days’ written notice. Fees for services already performed remain payable. A one-time project may be cancelled prior to delivery, with payment due for work completed to the date of cancellation. Either party may terminate immediately for material breach that is not remedied within a reasonable period.</w:t>
      </w:r>
    </w:p>
    <w:p>
      <w:pPr>
        <w:spacing w:after="140" w:before="180" w:line="276"/>
      </w:pPr>
      <w:r>
        <w:rPr>
          <w:b/>
          <w:bCs/>
          <w:color w:val="1A2B4A"/>
          <w:sz w:val="21"/>
          <w:szCs w:val="21"/>
        </w:rPr>
        <w:t xml:space="preserve">9. Intellectual property. </w:t>
      </w:r>
      <w:r>
        <w:rPr>
          <w:sz w:val="21"/>
          <w:szCs w:val="21"/>
        </w:rPr>
        <w:t xml:space="preserve">Upon receipt of payment in full, the final deliverables created for the client under the Proposal transfer to the client. We retain ownership of our pre-existing tools, methods, frameworks and templates, and of any component not created specifically for the client. We may reference and display non-confidential work in our portfolio and marketing unless the client requests otherwise in writing.</w:t>
      </w:r>
    </w:p>
    <w:p>
      <w:pPr>
        <w:spacing w:after="140" w:before="180" w:line="276"/>
      </w:pPr>
      <w:r>
        <w:rPr>
          <w:b/>
          <w:bCs/>
          <w:color w:val="1A2B4A"/>
          <w:sz w:val="21"/>
          <w:szCs w:val="21"/>
        </w:rPr>
        <w:t xml:space="preserve">10. Confidentiality. </w:t>
      </w:r>
      <w:r>
        <w:rPr>
          <w:sz w:val="21"/>
          <w:szCs w:val="21"/>
        </w:rPr>
        <w:t xml:space="preserve">Each party will keep the other’s non-public information confidential and use it solely for the purposes of the engagement. This obligation survives termination.</w:t>
      </w:r>
    </w:p>
    <w:p>
      <w:pPr>
        <w:spacing w:after="140" w:before="180" w:line="276"/>
      </w:pPr>
      <w:r>
        <w:rPr>
          <w:b/>
          <w:bCs/>
          <w:color w:val="1A2B4A"/>
          <w:sz w:val="21"/>
          <w:szCs w:val="21"/>
        </w:rPr>
        <w:t xml:space="preserve">11. Data protection. </w:t>
      </w:r>
      <w:r>
        <w:rPr>
          <w:sz w:val="21"/>
          <w:szCs w:val="21"/>
        </w:rPr>
        <w:t xml:space="preserve">Each party will comply with applicable data protection law in relation to any personal data processed in connection with the engagement, including the Digital Personal Data Protection Act, 2023 where applicable. [Please advise whether a separate data processing schedule is required, particularly for clients outside India.]</w:t>
      </w:r>
    </w:p>
    <w:p>
      <w:pPr>
        <w:spacing w:after="140" w:before="180" w:line="276"/>
      </w:pPr>
      <w:r>
        <w:rPr>
          <w:b/>
          <w:bCs/>
          <w:color w:val="1A2B4A"/>
          <w:sz w:val="21"/>
          <w:szCs w:val="21"/>
        </w:rPr>
        <w:t xml:space="preserve">12. No guarantee of outcomes. </w:t>
      </w:r>
      <w:r>
        <w:rPr>
          <w:sz w:val="21"/>
          <w:szCs w:val="21"/>
        </w:rPr>
        <w:t xml:space="preserve">We undertake to perform the work described in the Proposal to a professional standard. We do not guarantee any specific search ranking, volume of traffic, number of leads, conversion rate or revenue outcome. Such results depend on factors outside our control, including search engine and AI algorithms, advertising platform behaviour, competitor activity and conditions in the client’s own market.</w:t>
      </w:r>
    </w:p>
    <w:p>
      <w:pPr>
        <w:spacing w:after="140" w:before="180" w:line="276"/>
      </w:pPr>
      <w:r>
        <w:rPr>
          <w:b/>
          <w:bCs/>
          <w:color w:val="1A2B4A"/>
          <w:sz w:val="21"/>
          <w:szCs w:val="21"/>
        </w:rPr>
        <w:t xml:space="preserve">13. Third-party platforms. </w:t>
      </w:r>
      <w:r>
        <w:rPr>
          <w:sz w:val="21"/>
          <w:szCs w:val="21"/>
        </w:rPr>
        <w:t xml:space="preserve">Our services rely on third-party platforms including search engines, advertising networks, social media platforms, hosting providers and content management systems. We are not responsible for changes to, interruptions in, suspension of, or decisions taken by those platforms, including account suspensions or algorithm changes.</w:t>
      </w:r>
    </w:p>
    <w:p>
      <w:pPr>
        <w:spacing w:after="140" w:before="180" w:line="276"/>
      </w:pPr>
      <w:r>
        <w:rPr>
          <w:b/>
          <w:bCs/>
          <w:color w:val="1A2B4A"/>
          <w:sz w:val="21"/>
          <w:szCs w:val="21"/>
        </w:rPr>
        <w:t xml:space="preserve">14. Free tools on our website. </w:t>
      </w:r>
      <w:r>
        <w:rPr>
          <w:sz w:val="21"/>
          <w:szCs w:val="21"/>
        </w:rPr>
        <w:t xml:space="preserve">The self-serve tools on our website generate directional estimates using either data fetched live from a page submitted by the user or information self-reported by the user, and each result is labelled accordingly. They do not constitute a professional audit and are provided without warranty.</w:t>
      </w:r>
    </w:p>
    <w:p>
      <w:pPr>
        <w:spacing w:after="140" w:before="180" w:line="276"/>
      </w:pPr>
      <w:r>
        <w:rPr>
          <w:b/>
          <w:bCs/>
          <w:color w:val="1A2B4A"/>
          <w:sz w:val="21"/>
          <w:szCs w:val="21"/>
        </w:rPr>
        <w:t xml:space="preserve">15. Limitation of liability. </w:t>
      </w:r>
      <w:r>
        <w:rPr>
          <w:sz w:val="21"/>
          <w:szCs w:val="21"/>
        </w:rPr>
        <w:t xml:space="preserve">To the maximum extent permitted by law, neither party is liable for indirect, incidental, special or consequential loss, including loss of revenue, profits, business or goodwill. Our aggregate liability arising out of or in connection with the engagement is limited to the total fees paid to us for the services in the three months preceding the event giving rise to the claim. Nothing in these terms limits liability for fraud, wilful misconduct, or any liability that cannot lawfully be limited. [Please confirm the cap and the carve-outs.]</w:t>
      </w:r>
    </w:p>
    <w:p>
      <w:pPr>
        <w:spacing w:after="140" w:before="180" w:line="276"/>
      </w:pPr>
      <w:r>
        <w:rPr>
          <w:b/>
          <w:bCs/>
          <w:color w:val="1A2B4A"/>
          <w:sz w:val="21"/>
          <w:szCs w:val="21"/>
        </w:rPr>
        <w:t xml:space="preserve">16. Force majeure. </w:t>
      </w:r>
      <w:r>
        <w:rPr>
          <w:sz w:val="21"/>
          <w:szCs w:val="21"/>
        </w:rPr>
        <w:t xml:space="preserve">Neither party is liable for failure or delay in performance caused by events beyond its reasonable control.</w:t>
      </w:r>
    </w:p>
    <w:p>
      <w:pPr>
        <w:spacing w:after="140" w:before="180" w:line="276"/>
      </w:pPr>
      <w:r>
        <w:rPr>
          <w:b/>
          <w:bCs/>
          <w:color w:val="1A2B4A"/>
          <w:sz w:val="21"/>
          <w:szCs w:val="21"/>
        </w:rPr>
        <w:t xml:space="preserve">17. Entire agreement and precedence. </w:t>
      </w:r>
      <w:r>
        <w:rPr>
          <w:sz w:val="21"/>
          <w:szCs w:val="21"/>
        </w:rPr>
        <w:t xml:space="preserve">The Proposal together with these terms constitutes the entire agreement between the parties. Where the Proposal and these terms conflict, the Proposal prevails. Prices, packages and inclusions published on our website are indicative and do not constitute an offer capable of acceptance.</w:t>
      </w:r>
    </w:p>
    <w:p>
      <w:pPr>
        <w:spacing w:after="140" w:before="180" w:line="276"/>
      </w:pPr>
      <w:r>
        <w:rPr>
          <w:b/>
          <w:bCs/>
          <w:color w:val="1A2B4A"/>
          <w:sz w:val="21"/>
          <w:szCs w:val="21"/>
        </w:rPr>
        <w:t xml:space="preserve">18. Governing law and jurisdiction. </w:t>
      </w:r>
      <w:r>
        <w:rPr>
          <w:sz w:val="21"/>
          <w:szCs w:val="21"/>
        </w:rPr>
        <w:t xml:space="preserve">These terms are governed by the laws of India, and the courts at Ahmedabad and Mumbai have jurisdiction. [Please advise on the appropriate single seat of jurisdiction, and whether an arbitration clause would be preferable, including for international clients.]</w:t>
      </w:r>
    </w:p>
    <w:p>
      <w:r>
        <w:br w:type="page"/>
      </w:r>
    </w:p>
    <w:p>
      <w:pPr>
        <w:pStyle w:val="Heading1"/>
        <w:spacing w:after="160" w:before="360"/>
      </w:pPr>
      <w:r>
        <w:t xml:space="preserve">3. Specific questions for counsel</w:t>
      </w:r>
    </w:p>
    <w:p>
      <w:pPr>
        <w:spacing w:after="140" w:line="276"/>
      </w:pPr>
      <w:r>
        <w:rPr>
          <w:b w:val="false"/>
          <w:bCs w:val="false"/>
          <w:i w:val="false"/>
          <w:iCs w:val="false"/>
          <w:color w:val="222222"/>
          <w:sz w:val="21"/>
          <w:szCs w:val="21"/>
        </w:rPr>
        <w:t xml:space="preserve">The following points are where we would most value your guidance:</w:t>
      </w:r>
    </w:p>
    <w:p>
      <w:pPr>
        <w:pStyle w:val="ListParagraph"/>
        <w:numPr>
          <w:ilvl w:val="0"/>
          <w:numId w:val="3"/>
        </w:numPr>
        <w:spacing w:after="110" w:line="276"/>
      </w:pPr>
      <w:r>
        <w:rPr>
          <w:sz w:val="21"/>
          <w:szCs w:val="21"/>
        </w:rPr>
        <w:t xml:space="preserve">Is the duration-discount forfeiture in clause 5 enforceable as drafted, or should it be restructured (for example as a discount that accrues rather than one that is clawed back)?</w:t>
      </w:r>
    </w:p>
    <w:p>
      <w:pPr>
        <w:pStyle w:val="ListParagraph"/>
        <w:numPr>
          <w:ilvl w:val="0"/>
          <w:numId w:val="3"/>
        </w:numPr>
        <w:spacing w:after="110" w:line="276"/>
      </w:pPr>
      <w:r>
        <w:rPr>
          <w:sz w:val="21"/>
          <w:szCs w:val="21"/>
        </w:rPr>
        <w:t xml:space="preserve">Is the liability cap in clause 15 appropriate for a solo-operated agency, and are the carve-outs correctly stated?</w:t>
      </w:r>
    </w:p>
    <w:p>
      <w:pPr>
        <w:pStyle w:val="ListParagraph"/>
        <w:numPr>
          <w:ilvl w:val="0"/>
          <w:numId w:val="3"/>
        </w:numPr>
        <w:spacing w:after="110" w:line="276"/>
      </w:pPr>
      <w:r>
        <w:rPr>
          <w:sz w:val="21"/>
          <w:szCs w:val="21"/>
        </w:rPr>
        <w:t xml:space="preserve">Does the no-guarantee wording in clause 12 give adequate protection against a claim of misrepresentation, given that our marketing discusses growth outcomes?</w:t>
      </w:r>
    </w:p>
    <w:p>
      <w:pPr>
        <w:pStyle w:val="ListParagraph"/>
        <w:numPr>
          <w:ilvl w:val="0"/>
          <w:numId w:val="3"/>
        </w:numPr>
        <w:spacing w:after="110" w:line="276"/>
      </w:pPr>
      <w:r>
        <w:rPr>
          <w:sz w:val="21"/>
          <w:szCs w:val="21"/>
        </w:rPr>
        <w:t xml:space="preserve">Should jurisdiction name a single seat rather than two, and would an arbitration clause be preferable for international clients?</w:t>
      </w:r>
    </w:p>
    <w:p>
      <w:pPr>
        <w:pStyle w:val="ListParagraph"/>
        <w:numPr>
          <w:ilvl w:val="0"/>
          <w:numId w:val="3"/>
        </w:numPr>
        <w:spacing w:after="110" w:line="276"/>
      </w:pPr>
      <w:r>
        <w:rPr>
          <w:sz w:val="21"/>
          <w:szCs w:val="21"/>
        </w:rPr>
        <w:t xml:space="preserve">What GST treatment and place-of-supply position applies to overseas clients, and should the terms address TDS/withholding?</w:t>
      </w:r>
    </w:p>
    <w:p>
      <w:pPr>
        <w:pStyle w:val="ListParagraph"/>
        <w:numPr>
          <w:ilvl w:val="0"/>
          <w:numId w:val="3"/>
        </w:numPr>
        <w:spacing w:after="110" w:line="276"/>
      </w:pPr>
      <w:r>
        <w:rPr>
          <w:sz w:val="21"/>
          <w:szCs w:val="21"/>
        </w:rPr>
        <w:t xml:space="preserve">Is a separate data processing schedule required under the DPDP Act, 2023, particularly where we are given access to client advertising and analytics accounts?</w:t>
      </w:r>
    </w:p>
    <w:p>
      <w:pPr>
        <w:pStyle w:val="ListParagraph"/>
        <w:numPr>
          <w:ilvl w:val="0"/>
          <w:numId w:val="3"/>
        </w:numPr>
        <w:spacing w:after="110" w:line="276"/>
      </w:pPr>
      <w:r>
        <w:rPr>
          <w:sz w:val="21"/>
          <w:szCs w:val="21"/>
        </w:rPr>
        <w:t xml:space="preserve">Do we need a distinct set of website terms of use and a privacy policy separate from these engagement terms, and does the free-tools disclaimer in clause 14 suffice?</w:t>
      </w:r>
    </w:p>
    <w:p>
      <w:pPr>
        <w:pStyle w:val="ListParagraph"/>
        <w:numPr>
          <w:ilvl w:val="0"/>
          <w:numId w:val="3"/>
        </w:numPr>
        <w:spacing w:after="110" w:line="276"/>
      </w:pPr>
      <w:r>
        <w:rPr>
          <w:sz w:val="21"/>
          <w:szCs w:val="21"/>
        </w:rPr>
        <w:t xml:space="preserve">Are there consumer-protection implications where a client is a sole proprietor or very small business rather than a company?</w:t>
      </w:r>
    </w:p>
    <w:p>
      <w:pPr>
        <w:pStyle w:val="ListParagraph"/>
        <w:numPr>
          <w:ilvl w:val="0"/>
          <w:numId w:val="3"/>
        </w:numPr>
        <w:spacing w:after="110" w:line="276"/>
      </w:pPr>
      <w:r>
        <w:rPr>
          <w:sz w:val="21"/>
          <w:szCs w:val="21"/>
        </w:rPr>
        <w:t xml:space="preserve">Should payment terms include an interest provision on overdue invoices, and if so at what rate?</w:t>
      </w:r>
    </w:p>
    <w:p>
      <w:pPr>
        <w:pStyle w:val="ListParagraph"/>
        <w:numPr>
          <w:ilvl w:val="0"/>
          <w:numId w:val="3"/>
        </w:numPr>
        <w:spacing w:after="110" w:line="276"/>
      </w:pPr>
      <w:r>
        <w:rPr>
          <w:sz w:val="21"/>
          <w:szCs w:val="21"/>
        </w:rPr>
        <w:t xml:space="preserve">Is any change required for clients contracting from outside India, including currency, enforcement and export-of-services considerations?</w:t>
      </w:r>
    </w:p>
    <w:p>
      <w:pPr>
        <w:pStyle w:val="Heading1"/>
        <w:spacing w:after="160" w:before="360"/>
      </w:pPr>
      <w:r>
        <w:t xml:space="preserve">4. How these terms are used</w:t>
      </w:r>
    </w:p>
    <w:p>
      <w:pPr>
        <w:spacing w:after="140" w:line="276"/>
      </w:pPr>
      <w:r>
        <w:rPr>
          <w:b w:val="false"/>
          <w:bCs w:val="false"/>
          <w:i w:val="false"/>
          <w:iCs w:val="false"/>
          <w:color w:val="222222"/>
          <w:sz w:val="21"/>
          <w:szCs w:val="21"/>
        </w:rPr>
        <w:t xml:space="preserve">A shortened, plain-English version of these terms is published on our website at clicknlikes.com/terms, and the full terms are intended to be attached to or referenced by each written proposal. We would be grateful for your confirmation that both the published summary and the full terms are appropriate, and for a marked-up version we can adopt.</w:t>
      </w:r>
    </w:p>
    <w:p>
      <w:pPr>
        <w:pBdr>
          <w:top w:val="single" w:color="D8DEE8" w:sz="8" w:space="8"/>
        </w:pBdr>
        <w:spacing w:before="300"/>
      </w:pPr>
      <w:r>
        <w:rPr>
          <w:color w:val="5A6B85"/>
          <w:sz w:val="19"/>
          <w:szCs w:val="19"/>
        </w:rPr>
        <w:t xml:space="preserve">Click.n.likes  ·  business@clicknlikes.com  ·  clicknlikes.com</w:t>
      </w:r>
    </w:p>
    <w:sectPr>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A2B4A"/>
      <w:sz w:val="30"/>
      <w:szCs w:val="30"/>
    </w:rPr>
  </w:style>
  <w:style w:type="paragraph" w:styleId="Heading2">
    <w:name w:val="Heading 2"/>
    <w:basedOn w:val="Normal"/>
    <w:next w:val="Normal"/>
    <w:qFormat/>
    <w:pPr>
      <w:spacing w:after="110" w:before="260"/>
    </w:pPr>
    <w:rPr>
      <w:rFonts w:ascii="Calibri" w:cs="Calibri" w:eastAsia="Calibri" w:hAnsi="Calibri"/>
      <w:b/>
      <w:bCs/>
      <w:color w:val="2C8F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Click.n.likes — Terms of Service (draft for legal review)</dc:title>
  <dc:creator>Click.n.likes</dc:creator>
  <dc:description>Draft client-engagement terms prepared for solicitor review.</dc:description>
  <cp:lastModifiedBy>Un-named</cp:lastModifiedBy>
  <cp:revision>1</cp:revision>
  <dcterms:created xsi:type="dcterms:W3CDTF">2026-07-27T05:22:48.345Z</dcterms:created>
  <dcterms:modified xsi:type="dcterms:W3CDTF">2026-07-27T05:22:48.345Z</dcterms:modified>
</cp:coreProperties>
</file>

<file path=docProps/custom.xml><?xml version="1.0" encoding="utf-8"?>
<Properties xmlns="http://schemas.openxmlformats.org/officeDocument/2006/custom-properties" xmlns:vt="http://schemas.openxmlformats.org/officeDocument/2006/docPropsVTypes"/>
</file>