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C8F88"/>
          <w:spacing w:val="60"/>
          <w:sz w:val="20"/>
          <w:szCs w:val="20"/>
        </w:rPr>
        <w:t xml:space="preserve">CLICK.N.LIKES</w:t>
      </w:r>
    </w:p>
    <w:p>
      <w:pPr>
        <w:spacing w:after="60"/>
      </w:pPr>
      <w:r>
        <w:rPr>
          <w:b/>
          <w:bCs/>
          <w:color w:val="1A2B4A"/>
          <w:sz w:val="44"/>
          <w:szCs w:val="44"/>
        </w:rPr>
        <w:t xml:space="preserve">Master Services Agreement</w:t>
      </w:r>
    </w:p>
    <w:p>
      <w:pPr>
        <w:pBdr>
          <w:bottom w:val="single" w:color="D8DEE8" w:sz="8" w:space="8"/>
        </w:pBdr>
        <w:spacing w:after="220"/>
      </w:pPr>
      <w:r>
        <w:rPr>
          <w:color w:val="5A6B85"/>
          <w:sz w:val="22"/>
          <w:szCs w:val="22"/>
        </w:rPr>
        <w:t xml:space="preserve">The legal agreement between Click.n.likes and its clients — DRAFT for legal review</w:t>
      </w:r>
    </w:p>
    <w:p>
      <w:pPr>
        <w:spacing w:after="140" w:line="280"/>
      </w:pPr>
      <w:r>
        <w:rPr>
          <w:b w:val="false"/>
          <w:bCs w:val="false"/>
          <w:i w:val="false"/>
          <w:iCs w:val="false"/>
          <w:color w:val="5A6B85"/>
          <w:sz w:val="21"/>
          <w:szCs w:val="21"/>
        </w:rPr>
        <w:t xml:space="preserve">Version: July 2026 draft.  Base currency: INR.  Governing law: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6"/>
              <w:left w:val="single" w:color="B03A2E" w:sz="18"/>
              <w:bottom w:val="single" w:color="E0E0E0" w:sz="6"/>
              <w:right w:val="single" w:color="E0E0E0" w:sz="6"/>
            </w:tcBorders>
            <w:shd w:fill="FDF3F2" w:val="clear"/>
            <w:tcMar>
              <w:top w:type="dxa" w:w="160"/>
              <w:left w:type="dxa" w:w="200"/>
              <w:bottom w:type="dxa" w:w="160"/>
              <w:right w:type="dxa" w:w="200"/>
            </w:tcMar>
          </w:tcPr>
          <w:p>
            <w:pPr>
              <w:spacing w:line="280"/>
            </w:pPr>
            <w:r>
              <w:rPr>
                <w:b/>
                <w:bCs/>
                <w:color w:val="B03A2E"/>
                <w:sz w:val="21"/>
                <w:szCs w:val="21"/>
              </w:rPr>
              <w:t xml:space="preserve">FOR REVIEW: </w:t>
            </w:r>
            <w:r>
              <w:rPr>
                <w:sz w:val="21"/>
                <w:szCs w:val="21"/>
              </w:rPr>
              <w:t xml:space="preserve">This is a comprehensive plain-English draft prepared by the business, not by a legal professional. It has not been checked against the Indian Contract Act, 1872, the Information Technology Act, 2000, the Digital Personal Data Protection Act, 2023, consumer protection legislation, or GST and tax rules. Bracketed notes flag the points where we specifically want your view. Please review, amend and adapt before it is used.</w:t>
            </w:r>
          </w:p>
        </w:tc>
      </w:tr>
    </w:tbl>
    <w:p>
      <w:pPr>
        <w:spacing w:after="140" w:line="280"/>
      </w:pPr>
      <w:r>
        <w:rPr>
          <w:b w:val="false"/>
          <w:bCs w:val="false"/>
          <w:i w:val="false"/>
          <w:iCs w:val="false"/>
          <w:color w:val="222222"/>
          <w:sz w:val="21"/>
          <w:szCs w:val="21"/>
        </w:rPr>
        <w:t xml:space="preserve">How our documents fit together. This Master Services Agreement ("this Agreement") contains the legal terms that govern every engagement. Each client also receives a Proposal, which contains the commercial detail specific to them — services, tiers, deliverables, volumes, fees, term and timelines. A short plain-English summary of the key terms is published at clicknlikes.com/terms. Where the Proposal and this Agreement conflict on a commercial point, the Proposal prevails; on a legal point, this Agreement prevails.</w:t>
      </w:r>
    </w:p>
    <w:p>
      <w:pPr>
        <w:pStyle w:val="Heading1"/>
        <w:spacing w:after="150" w:before="340"/>
      </w:pPr>
      <w:r>
        <w:rPr>
          <w:b/>
          <w:bCs/>
          <w:color w:val="1A2B4A"/>
          <w:sz w:val="26"/>
          <w:szCs w:val="26"/>
        </w:rPr>
        <w:t xml:space="preserve">1. Definitions</w:t>
      </w:r>
    </w:p>
    <w:p>
      <w:pPr>
        <w:spacing w:after="140" w:line="280"/>
      </w:pPr>
      <w:r>
        <w:rPr>
          <w:b w:val="false"/>
          <w:bCs w:val="false"/>
          <w:i w:val="false"/>
          <w:iCs w:val="false"/>
          <w:color w:val="222222"/>
          <w:sz w:val="21"/>
          <w:szCs w:val="21"/>
        </w:rPr>
        <w:t xml:space="preserve">In this Agreement:</w:t>
      </w:r>
    </w:p>
    <w:p>
      <w:pPr>
        <w:spacing w:after="90" w:before="90" w:line="280"/>
        <w:ind w:left="420" w:hanging="420"/>
      </w:pPr>
      <w:r>
        <w:rPr>
          <w:b/>
          <w:bCs/>
          <w:color w:val="1A2B4A"/>
          <w:sz w:val="21"/>
          <w:szCs w:val="21"/>
        </w:rPr>
        <w:t xml:space="preserve">“Agreement” </w:t>
      </w:r>
      <w:r>
        <w:rPr>
          <w:sz w:val="21"/>
          <w:szCs w:val="21"/>
        </w:rPr>
        <w:t xml:space="preserve">means this Master Services Agreement together with the Proposal and any schedule or annexure to either.</w:t>
      </w:r>
    </w:p>
    <w:p>
      <w:pPr>
        <w:spacing w:after="90" w:before="90" w:line="280"/>
        <w:ind w:left="420" w:hanging="420"/>
      </w:pPr>
      <w:r>
        <w:rPr>
          <w:b/>
          <w:bCs/>
          <w:color w:val="1A2B4A"/>
          <w:sz w:val="21"/>
          <w:szCs w:val="21"/>
        </w:rPr>
        <w:t xml:space="preserve">“Client” </w:t>
      </w:r>
      <w:r>
        <w:rPr>
          <w:sz w:val="21"/>
          <w:szCs w:val="21"/>
        </w:rPr>
        <w:t xml:space="preserve">means the person or entity named in the Proposal.</w:t>
      </w:r>
    </w:p>
    <w:p>
      <w:pPr>
        <w:spacing w:after="90" w:before="90" w:line="280"/>
        <w:ind w:left="420" w:hanging="420"/>
      </w:pPr>
      <w:r>
        <w:rPr>
          <w:b/>
          <w:bCs/>
          <w:color w:val="1A2B4A"/>
          <w:sz w:val="21"/>
          <w:szCs w:val="21"/>
        </w:rPr>
        <w:t xml:space="preserve">“Client Materials” </w:t>
      </w:r>
      <w:r>
        <w:rPr>
          <w:sz w:val="21"/>
          <w:szCs w:val="21"/>
        </w:rPr>
        <w:t xml:space="preserve">means any content, data, imagery, logos, trade marks, copy, credentials, account access or other material the Client supplies or makes available to us for the purposes of the Services.</w:t>
      </w:r>
    </w:p>
    <w:p>
      <w:pPr>
        <w:spacing w:after="90" w:before="90" w:line="280"/>
        <w:ind w:left="420" w:hanging="420"/>
      </w:pPr>
      <w:r>
        <w:rPr>
          <w:b/>
          <w:bCs/>
          <w:color w:val="1A2B4A"/>
          <w:sz w:val="21"/>
          <w:szCs w:val="21"/>
        </w:rPr>
        <w:t xml:space="preserve">“Complimentary Months” </w:t>
      </w:r>
      <w:r>
        <w:rPr>
          <w:sz w:val="21"/>
          <w:szCs w:val="21"/>
        </w:rPr>
        <w:t xml:space="preserve">means the months of a Term supplied at no charge under clause 7.</w:t>
      </w:r>
    </w:p>
    <w:p>
      <w:pPr>
        <w:spacing w:after="90" w:before="90" w:line="280"/>
        <w:ind w:left="420" w:hanging="420"/>
      </w:pPr>
      <w:r>
        <w:rPr>
          <w:b/>
          <w:bCs/>
          <w:color w:val="1A2B4A"/>
          <w:sz w:val="21"/>
          <w:szCs w:val="21"/>
        </w:rPr>
        <w:t xml:space="preserve">“Deliverables” </w:t>
      </w:r>
      <w:r>
        <w:rPr>
          <w:sz w:val="21"/>
          <w:szCs w:val="21"/>
        </w:rPr>
        <w:t xml:space="preserve">means the work product we create for the Client under the Proposal.</w:t>
      </w:r>
    </w:p>
    <w:p>
      <w:pPr>
        <w:spacing w:after="90" w:before="90" w:line="280"/>
        <w:ind w:left="420" w:hanging="420"/>
      </w:pPr>
      <w:r>
        <w:rPr>
          <w:b/>
          <w:bCs/>
          <w:color w:val="1A2B4A"/>
          <w:sz w:val="21"/>
          <w:szCs w:val="21"/>
        </w:rPr>
        <w:t xml:space="preserve">“Fees” </w:t>
      </w:r>
      <w:r>
        <w:rPr>
          <w:sz w:val="21"/>
          <w:szCs w:val="21"/>
        </w:rPr>
        <w:t xml:space="preserve">means the charges for the Services set out in the Proposal.</w:t>
      </w:r>
    </w:p>
    <w:p>
      <w:pPr>
        <w:spacing w:after="90" w:before="90" w:line="280"/>
        <w:ind w:left="420" w:hanging="420"/>
      </w:pPr>
      <w:r>
        <w:rPr>
          <w:b/>
          <w:bCs/>
          <w:color w:val="1A2B4A"/>
          <w:sz w:val="21"/>
          <w:szCs w:val="21"/>
        </w:rPr>
        <w:t xml:space="preserve">“Proposal” </w:t>
      </w:r>
      <w:r>
        <w:rPr>
          <w:sz w:val="21"/>
          <w:szCs w:val="21"/>
        </w:rPr>
        <w:t xml:space="preserve">means the written proposal, quotation or statement of work issued by us and accepted by the Client, which sets out the Services, Fees, Term and any client-specific commercial terms.</w:t>
      </w:r>
    </w:p>
    <w:p>
      <w:pPr>
        <w:spacing w:after="90" w:before="90" w:line="280"/>
        <w:ind w:left="420" w:hanging="420"/>
      </w:pPr>
      <w:r>
        <w:rPr>
          <w:b/>
          <w:bCs/>
          <w:color w:val="1A2B4A"/>
          <w:sz w:val="21"/>
          <w:szCs w:val="21"/>
        </w:rPr>
        <w:t xml:space="preserve">“Services” </w:t>
      </w:r>
      <w:r>
        <w:rPr>
          <w:sz w:val="21"/>
          <w:szCs w:val="21"/>
        </w:rPr>
        <w:t xml:space="preserve">means the digital marketing, content, advertising, website and related services described in the Proposal.</w:t>
      </w:r>
    </w:p>
    <w:p>
      <w:pPr>
        <w:spacing w:after="90" w:before="90" w:line="280"/>
        <w:ind w:left="420" w:hanging="420"/>
      </w:pPr>
      <w:r>
        <w:rPr>
          <w:b/>
          <w:bCs/>
          <w:color w:val="1A2B4A"/>
          <w:sz w:val="21"/>
          <w:szCs w:val="21"/>
        </w:rPr>
        <w:t xml:space="preserve">“Term” </w:t>
      </w:r>
      <w:r>
        <w:rPr>
          <w:sz w:val="21"/>
          <w:szCs w:val="21"/>
        </w:rPr>
        <w:t xml:space="preserve">means the duration of the engagement selected in the Proposal (for example 1, 3, 6 or 12 months), beginning on the Commencement Date.</w:t>
      </w:r>
    </w:p>
    <w:p>
      <w:pPr>
        <w:spacing w:after="90" w:before="90" w:line="280"/>
        <w:ind w:left="420" w:hanging="420"/>
      </w:pPr>
      <w:r>
        <w:rPr>
          <w:b/>
          <w:bCs/>
          <w:color w:val="1A2B4A"/>
          <w:sz w:val="21"/>
          <w:szCs w:val="21"/>
        </w:rPr>
        <w:t xml:space="preserve">“Third-Party Costs” </w:t>
      </w:r>
      <w:r>
        <w:rPr>
          <w:sz w:val="21"/>
          <w:szCs w:val="21"/>
        </w:rPr>
        <w:t xml:space="preserve">means the costs described in clause 9, which are the Client’s own costs and are not included in the Fees.</w:t>
      </w:r>
    </w:p>
    <w:p>
      <w:pPr>
        <w:spacing w:after="90" w:before="90" w:line="280"/>
        <w:ind w:left="420" w:hanging="420"/>
      </w:pPr>
      <w:r>
        <w:rPr>
          <w:b/>
          <w:bCs/>
          <w:color w:val="1A2B4A"/>
          <w:sz w:val="21"/>
          <w:szCs w:val="21"/>
        </w:rPr>
        <w:t xml:space="preserve">“we, us, our” </w:t>
      </w:r>
      <w:r>
        <w:rPr>
          <w:sz w:val="21"/>
          <w:szCs w:val="21"/>
        </w:rPr>
        <w:t xml:space="preserve">means Click.n.likes, a business registered in India.</w:t>
      </w:r>
    </w:p>
    <w:p>
      <w:pPr>
        <w:spacing w:after="140" w:line="280"/>
      </w:pPr>
      <w:r>
        <w:rPr>
          <w:b w:val="false"/>
          <w:bCs w:val="false"/>
          <w:i w:val="false"/>
          <w:iCs w:val="false"/>
          <w:color w:val="222222"/>
          <w:sz w:val="21"/>
          <w:szCs w:val="21"/>
        </w:rPr>
        <w:t xml:space="preserve">References to writing include email. Headings are for convenience and do not affect interpretation. Words in the singular include the plural and vice versa.</w:t>
      </w:r>
    </w:p>
    <w:p>
      <w:pPr>
        <w:pStyle w:val="Heading1"/>
        <w:spacing w:after="150" w:before="340"/>
      </w:pPr>
      <w:r>
        <w:rPr>
          <w:b/>
          <w:bCs/>
          <w:color w:val="1A2B4A"/>
          <w:sz w:val="26"/>
          <w:szCs w:val="26"/>
        </w:rPr>
        <w:t xml:space="preserve">2. The Agreement and its formation</w:t>
      </w:r>
    </w:p>
    <w:p>
      <w:pPr>
        <w:spacing w:after="120" w:before="100" w:line="280"/>
        <w:ind w:left="420" w:hanging="420"/>
      </w:pPr>
      <w:r>
        <w:rPr>
          <w:b/>
          <w:bCs/>
          <w:color w:val="2C8F88"/>
          <w:sz w:val="21"/>
          <w:szCs w:val="21"/>
        </w:rPr>
        <w:t xml:space="preserve">2.1  </w:t>
      </w:r>
      <w:r>
        <w:rPr>
          <w:sz w:val="21"/>
          <w:szCs w:val="21"/>
        </w:rPr>
        <w:t xml:space="preserve">The Client accepts this Agreement by signing or electronically accepting the Proposal, by making payment against it, or by instructing us to begin work — whichever happens first.</w:t>
      </w:r>
    </w:p>
    <w:p>
      <w:pPr>
        <w:spacing w:after="120" w:before="100" w:line="280"/>
        <w:ind w:left="420" w:hanging="420"/>
      </w:pPr>
      <w:r>
        <w:rPr>
          <w:b/>
          <w:bCs/>
          <w:color w:val="2C8F88"/>
          <w:sz w:val="21"/>
          <w:szCs w:val="21"/>
        </w:rPr>
        <w:t xml:space="preserve">2.2  </w:t>
      </w:r>
      <w:r>
        <w:rPr>
          <w:sz w:val="21"/>
          <w:szCs w:val="21"/>
        </w:rPr>
        <w:t xml:space="preserve">Prices, packages, inclusions and estimates published on our website, produced by our online tools, or given verbally are indicative only. They are an invitation to treat and do not constitute an offer capable of acceptance. Only the Proposal fixes what is agreed.</w:t>
      </w:r>
    </w:p>
    <w:p>
      <w:pPr>
        <w:spacing w:after="120" w:before="100" w:line="280"/>
        <w:ind w:left="420" w:hanging="420"/>
      </w:pPr>
      <w:r>
        <w:rPr>
          <w:b/>
          <w:bCs/>
          <w:color w:val="2C8F88"/>
          <w:sz w:val="21"/>
          <w:szCs w:val="21"/>
        </w:rPr>
        <w:t xml:space="preserve">2.3  </w:t>
      </w:r>
      <w:r>
        <w:rPr>
          <w:sz w:val="21"/>
          <w:szCs w:val="21"/>
        </w:rPr>
        <w:t xml:space="preserve">Any purchase order, standard terms or other document issued by the Client does not apply to the engagement and is expressly excluded, even if we acknowledge or sign it, unless we agree otherwise in writing and specifically refer to this clause.</w:t>
      </w:r>
    </w:p>
    <w:p>
      <w:pPr>
        <w:spacing w:after="120" w:before="100" w:line="280"/>
        <w:ind w:left="420" w:hanging="420"/>
      </w:pPr>
      <w:r>
        <w:rPr>
          <w:b/>
          <w:bCs/>
          <w:color w:val="2C8F88"/>
          <w:sz w:val="21"/>
          <w:szCs w:val="21"/>
        </w:rPr>
        <w:t xml:space="preserve">2.4  </w:t>
      </w:r>
      <w:r>
        <w:rPr>
          <w:sz w:val="21"/>
          <w:szCs w:val="21"/>
        </w:rPr>
        <w:t xml:space="preserve">The Agreement may be signed or accepted electronically, and electronic acceptance is as binding as a wet signature. It may be executed in counterparts.</w:t>
      </w:r>
    </w:p>
    <w:p>
      <w:pPr>
        <w:pStyle w:val="Heading1"/>
        <w:spacing w:after="150" w:before="340"/>
      </w:pPr>
      <w:r>
        <w:rPr>
          <w:b/>
          <w:bCs/>
          <w:color w:val="1A2B4A"/>
          <w:sz w:val="26"/>
          <w:szCs w:val="26"/>
        </w:rPr>
        <w:t xml:space="preserve">3. Scope of Services</w:t>
      </w:r>
    </w:p>
    <w:p>
      <w:pPr>
        <w:spacing w:after="120" w:before="100" w:line="280"/>
        <w:ind w:left="420" w:hanging="420"/>
      </w:pPr>
      <w:r>
        <w:rPr>
          <w:b/>
          <w:bCs/>
          <w:color w:val="2C8F88"/>
          <w:sz w:val="21"/>
          <w:szCs w:val="21"/>
        </w:rPr>
        <w:t xml:space="preserve">3.1  </w:t>
      </w:r>
      <w:r>
        <w:rPr>
          <w:sz w:val="21"/>
          <w:szCs w:val="21"/>
        </w:rPr>
        <w:t xml:space="preserve">We will supply the Services described in the Proposal with reasonable skill and care, and to the volumes and cadence the Proposal states.</w:t>
      </w:r>
    </w:p>
    <w:p>
      <w:pPr>
        <w:spacing w:after="120" w:before="100" w:line="280"/>
        <w:ind w:left="420" w:hanging="420"/>
      </w:pPr>
      <w:r>
        <w:rPr>
          <w:b/>
          <w:bCs/>
          <w:color w:val="2C8F88"/>
          <w:sz w:val="21"/>
          <w:szCs w:val="21"/>
        </w:rPr>
        <w:t xml:space="preserve">3.2  </w:t>
      </w:r>
      <w:r>
        <w:rPr>
          <w:sz w:val="21"/>
          <w:szCs w:val="21"/>
        </w:rPr>
        <w:t xml:space="preserve">Anything not expressly listed in the Proposal is out of scope. We will tell the Client before undertaking out-of-scope work, and it will be quoted and agreed separately in writing.</w:t>
      </w:r>
    </w:p>
    <w:p>
      <w:pPr>
        <w:spacing w:after="120" w:before="100" w:line="280"/>
        <w:ind w:left="420" w:hanging="420"/>
      </w:pPr>
      <w:r>
        <w:rPr>
          <w:b/>
          <w:bCs/>
          <w:color w:val="2C8F88"/>
          <w:sz w:val="21"/>
          <w:szCs w:val="21"/>
        </w:rPr>
        <w:t xml:space="preserve">3.3  </w:t>
      </w:r>
      <w:r>
        <w:rPr>
          <w:sz w:val="21"/>
          <w:szCs w:val="21"/>
        </w:rPr>
        <w:t xml:space="preserve">Where the Proposal describes a service tier with included volumes (for example a number of keywords, articles, posts, pages, campaigns or guest posts), those volumes are the ceiling for that tier in each billing month. Volumes are not cumulative and do not roll over into later months unless the Proposal says so.</w:t>
      </w:r>
    </w:p>
    <w:p>
      <w:pPr>
        <w:spacing w:after="120" w:before="100" w:line="280"/>
        <w:ind w:left="420" w:hanging="420"/>
      </w:pPr>
      <w:r>
        <w:rPr>
          <w:b/>
          <w:bCs/>
          <w:color w:val="2C8F88"/>
          <w:sz w:val="21"/>
          <w:szCs w:val="21"/>
        </w:rPr>
        <w:t xml:space="preserve">3.4  </w:t>
      </w:r>
      <w:r>
        <w:rPr>
          <w:sz w:val="21"/>
          <w:szCs w:val="21"/>
        </w:rPr>
        <w:t xml:space="preserve">We may change the methods, tools, platforms or personnel used to deliver the Services, provided the Deliverables and standards described in the Proposal are not reduced.</w:t>
      </w:r>
    </w:p>
    <w:p>
      <w:pPr>
        <w:pStyle w:val="Heading1"/>
        <w:spacing w:after="150" w:before="340"/>
      </w:pPr>
      <w:r>
        <w:rPr>
          <w:b/>
          <w:bCs/>
          <w:color w:val="1A2B4A"/>
          <w:sz w:val="26"/>
          <w:szCs w:val="26"/>
        </w:rPr>
        <w:t xml:space="preserve">4. Term and commencement</w:t>
      </w:r>
    </w:p>
    <w:p>
      <w:pPr>
        <w:spacing w:after="120" w:before="100" w:line="280"/>
        <w:ind w:left="420" w:hanging="420"/>
      </w:pPr>
      <w:r>
        <w:rPr>
          <w:b/>
          <w:bCs/>
          <w:color w:val="2C8F88"/>
          <w:sz w:val="21"/>
          <w:szCs w:val="21"/>
        </w:rPr>
        <w:t xml:space="preserve">4.1  </w:t>
      </w:r>
      <w:r>
        <w:rPr>
          <w:sz w:val="21"/>
          <w:szCs w:val="21"/>
        </w:rPr>
        <w:t xml:space="preserve">The engagement begins on the Commencement Date stated in the Proposal or, if none is stated, on the date we receive cleared payment of the first invoice, and continues for the Term.</w:t>
      </w:r>
    </w:p>
    <w:p>
      <w:pPr>
        <w:spacing w:after="120" w:before="100" w:line="280"/>
        <w:ind w:left="420" w:hanging="420"/>
      </w:pPr>
      <w:r>
        <w:rPr>
          <w:b/>
          <w:bCs/>
          <w:color w:val="2C8F88"/>
          <w:sz w:val="21"/>
          <w:szCs w:val="21"/>
        </w:rPr>
        <w:t xml:space="preserve">4.2  </w:t>
      </w:r>
      <w:r>
        <w:rPr>
          <w:sz w:val="21"/>
          <w:szCs w:val="21"/>
        </w:rPr>
        <w:t xml:space="preserve">Work begins once we have received both cleared payment and the access, approvals and Client Materials reasonably required to start. Where those are delayed, the start of delivery may move accordingly, but the Term is not extended for that reason unless we agree otherwise in writing.</w:t>
      </w:r>
    </w:p>
    <w:p>
      <w:pPr>
        <w:spacing w:after="120" w:before="100" w:line="280"/>
        <w:ind w:left="420" w:hanging="420"/>
      </w:pPr>
      <w:r>
        <w:rPr>
          <w:b/>
          <w:bCs/>
          <w:color w:val="2C8F88"/>
          <w:sz w:val="21"/>
          <w:szCs w:val="21"/>
        </w:rPr>
        <w:t xml:space="preserve">4.3  </w:t>
      </w:r>
      <w:r>
        <w:rPr>
          <w:sz w:val="21"/>
          <w:szCs w:val="21"/>
        </w:rPr>
        <w:t xml:space="preserve">At the end of the Term, the engagement ends unless the parties agree a renewal in writing. There is no automatic renewal and no automatic recurring charge.</w:t>
      </w:r>
    </w:p>
    <w:p>
      <w:pPr>
        <w:pStyle w:val="Heading1"/>
        <w:spacing w:after="150" w:before="340"/>
      </w:pPr>
      <w:r>
        <w:rPr>
          <w:b/>
          <w:bCs/>
          <w:color w:val="1A2B4A"/>
          <w:sz w:val="26"/>
          <w:szCs w:val="26"/>
        </w:rPr>
        <w:t xml:space="preserve">5. Fees, billing and payment</w:t>
      </w:r>
    </w:p>
    <w:p>
      <w:pPr>
        <w:spacing w:after="120" w:before="100" w:line="280"/>
        <w:ind w:left="420" w:hanging="420"/>
      </w:pPr>
      <w:r>
        <w:rPr>
          <w:b/>
          <w:bCs/>
          <w:color w:val="2C8F88"/>
          <w:sz w:val="21"/>
          <w:szCs w:val="21"/>
        </w:rPr>
        <w:t xml:space="preserve">5.1  </w:t>
      </w:r>
      <w:r>
        <w:rPr>
          <w:sz w:val="21"/>
          <w:szCs w:val="21"/>
        </w:rPr>
        <w:t xml:space="preserve">Fees are as set out in the Proposal, in the currency stated there. Our base currency is INR. Amounts shown in other currencies on our website or in our tools are indicative conversions for convenience only; the currency in the Proposal governs.</w:t>
      </w:r>
    </w:p>
    <w:p>
      <w:pPr>
        <w:spacing w:after="120" w:before="100" w:line="280"/>
        <w:ind w:left="420" w:hanging="420"/>
      </w:pPr>
      <w:r>
        <w:rPr>
          <w:b/>
          <w:bCs/>
          <w:color w:val="2C8F88"/>
          <w:sz w:val="21"/>
          <w:szCs w:val="21"/>
        </w:rPr>
        <w:t xml:space="preserve">5.2  </w:t>
      </w:r>
      <w:r>
        <w:rPr>
          <w:sz w:val="21"/>
          <w:szCs w:val="21"/>
        </w:rPr>
        <w:t xml:space="preserve">The chargeable months of the Term are invoiced once, in advance, before work begins. One-time projects such as a website build are invoiced 50% to commence and 50% on delivery, unless the Proposal states otherwise.</w:t>
      </w:r>
    </w:p>
    <w:p>
      <w:pPr>
        <w:spacing w:after="120" w:before="100" w:line="280"/>
        <w:ind w:left="420" w:hanging="420"/>
      </w:pPr>
      <w:r>
        <w:rPr>
          <w:b/>
          <w:bCs/>
          <w:color w:val="2C8F88"/>
          <w:sz w:val="21"/>
          <w:szCs w:val="21"/>
        </w:rPr>
        <w:t xml:space="preserve">5.3  </w:t>
      </w:r>
      <w:r>
        <w:rPr>
          <w:sz w:val="21"/>
          <w:szCs w:val="21"/>
        </w:rPr>
        <w:t xml:space="preserve">Invoices are payable within 7 days of the invoice date, without deduction, set-off or counterclaim.</w:t>
      </w:r>
    </w:p>
    <w:p>
      <w:pPr>
        <w:spacing w:after="120" w:before="100" w:line="280"/>
        <w:ind w:left="420" w:hanging="420"/>
      </w:pPr>
      <w:r>
        <w:rPr>
          <w:b/>
          <w:bCs/>
          <w:color w:val="2C8F88"/>
          <w:sz w:val="21"/>
          <w:szCs w:val="21"/>
        </w:rPr>
        <w:t xml:space="preserve">5.4  </w:t>
      </w:r>
      <w:r>
        <w:rPr>
          <w:sz w:val="21"/>
          <w:szCs w:val="21"/>
        </w:rPr>
        <w:t xml:space="preserve">If an invoice is not paid when due we may, on written notice, suspend the Services under clause 13 and charge interest on the overdue amount at 1.5% per month or the maximum permitted by law, whichever is lower, accruing daily from the due date until payment. [Please confirm the permissible interest rate and any notice requirement.]</w:t>
      </w:r>
    </w:p>
    <w:p>
      <w:pPr>
        <w:spacing w:after="120" w:before="100" w:line="280"/>
        <w:ind w:left="420" w:hanging="420"/>
      </w:pPr>
      <w:r>
        <w:rPr>
          <w:b/>
          <w:bCs/>
          <w:color w:val="2C8F88"/>
          <w:sz w:val="21"/>
          <w:szCs w:val="21"/>
        </w:rPr>
        <w:t xml:space="preserve">5.5  </w:t>
      </w:r>
      <w:r>
        <w:rPr>
          <w:sz w:val="21"/>
          <w:szCs w:val="21"/>
        </w:rPr>
        <w:t xml:space="preserve">Bank charges, payment-gateway fees, currency-conversion costs and any deduction made by the Client’s bank are borne by the Client, and the Client shall pay such additional amount as ensures we receive the full invoiced sum.</w:t>
      </w:r>
    </w:p>
    <w:p>
      <w:pPr>
        <w:spacing w:after="120" w:before="100" w:line="280"/>
        <w:ind w:left="420" w:hanging="420"/>
      </w:pPr>
      <w:r>
        <w:rPr>
          <w:b/>
          <w:bCs/>
          <w:color w:val="2C8F88"/>
          <w:sz w:val="21"/>
          <w:szCs w:val="21"/>
        </w:rPr>
        <w:t xml:space="preserve">5.6  </w:t>
      </w:r>
      <w:r>
        <w:rPr>
          <w:sz w:val="21"/>
          <w:szCs w:val="21"/>
        </w:rPr>
        <w:t xml:space="preserve">Where the Client is required by law to withhold or deduct tax at source, the Client will provide the relevant certificate promptly so we can claim credit. [Please advise on TDS treatment and on the position for clients contracting from outside India.]</w:t>
      </w:r>
    </w:p>
    <w:p>
      <w:pPr>
        <w:pStyle w:val="Heading1"/>
        <w:spacing w:after="150" w:before="340"/>
      </w:pPr>
      <w:r>
        <w:rPr>
          <w:b/>
          <w:bCs/>
          <w:color w:val="1A2B4A"/>
          <w:sz w:val="26"/>
          <w:szCs w:val="26"/>
        </w:rPr>
        <w:t xml:space="preserve">6. Taxes</w:t>
      </w:r>
    </w:p>
    <w:p>
      <w:pPr>
        <w:spacing w:after="120" w:before="100" w:line="280"/>
        <w:ind w:left="420" w:hanging="420"/>
      </w:pPr>
      <w:r>
        <w:rPr>
          <w:b/>
          <w:bCs/>
          <w:color w:val="2C8F88"/>
          <w:sz w:val="21"/>
          <w:szCs w:val="21"/>
        </w:rPr>
        <w:t xml:space="preserve">6.1  </w:t>
      </w:r>
      <w:r>
        <w:rPr>
          <w:sz w:val="21"/>
          <w:szCs w:val="21"/>
        </w:rPr>
        <w:t xml:space="preserve">All Fees are exclusive of tax. We are not presently registered for GST and accordingly no GST is charged on our invoices.</w:t>
      </w:r>
    </w:p>
    <w:p>
      <w:pPr>
        <w:spacing w:after="120" w:before="100" w:line="280"/>
        <w:ind w:left="420" w:hanging="420"/>
      </w:pPr>
      <w:r>
        <w:rPr>
          <w:b/>
          <w:bCs/>
          <w:color w:val="2C8F88"/>
          <w:sz w:val="21"/>
          <w:szCs w:val="21"/>
        </w:rPr>
        <w:t xml:space="preserve">6.2  </w:t>
      </w:r>
      <w:r>
        <w:rPr>
          <w:sz w:val="21"/>
          <w:szCs w:val="21"/>
        </w:rPr>
        <w:t xml:space="preserve">If we become liable to register for GST, or if any other tax, duty, levy or cess becomes applicable to the Services, it will be charged in addition at the prevailing rate and shown separately on the invoice. The Client will pay such amounts in addition to the Fees.</w:t>
      </w:r>
    </w:p>
    <w:p>
      <w:pPr>
        <w:spacing w:after="120" w:before="100" w:line="280"/>
        <w:ind w:left="420" w:hanging="420"/>
      </w:pPr>
      <w:r>
        <w:rPr>
          <w:b/>
          <w:bCs/>
          <w:color w:val="2C8F88"/>
          <w:sz w:val="21"/>
          <w:szCs w:val="21"/>
        </w:rPr>
        <w:t xml:space="preserve">6.3  </w:t>
      </w:r>
      <w:r>
        <w:rPr>
          <w:sz w:val="21"/>
          <w:szCs w:val="21"/>
        </w:rPr>
        <w:t xml:space="preserve">[For the tax adviser: please confirm the aggregate-turnover threshold that triggers registration, whether Fees invoiced to clients outside India count toward that threshold, the treatment of export of services and any LUT requirement once registration applies, and whether these clauses are adequate to allow tax to be added mid-term.]</w:t>
      </w:r>
    </w:p>
    <w:p>
      <w:pPr>
        <w:pStyle w:val="Heading1"/>
        <w:spacing w:after="150" w:before="340"/>
      </w:pPr>
      <w:r>
        <w:rPr>
          <w:b/>
          <w:bCs/>
          <w:color w:val="1A2B4A"/>
          <w:sz w:val="26"/>
          <w:szCs w:val="26"/>
        </w:rPr>
        <w:t xml:space="preserve">7. Discounts and complimentary months</w:t>
      </w:r>
    </w:p>
    <w:p>
      <w:pPr>
        <w:spacing w:after="120" w:before="100" w:line="280"/>
        <w:ind w:left="420" w:hanging="420"/>
      </w:pPr>
      <w:r>
        <w:rPr>
          <w:b/>
          <w:bCs/>
          <w:color w:val="2C8F88"/>
          <w:sz w:val="21"/>
          <w:szCs w:val="21"/>
        </w:rPr>
        <w:t xml:space="preserve">7.1  </w:t>
      </w:r>
      <w:r>
        <w:rPr>
          <w:sz w:val="21"/>
          <w:szCs w:val="21"/>
        </w:rPr>
        <w:t xml:space="preserve">Where the Proposal applies a multi-service discount, it applies to the monthly Fees for so long as two or more services are running together. If the engagement reduces to a single service, the discount ceases from the following month. A discount already applied to a completed month is not recalculated or reclaimed.</w:t>
      </w:r>
    </w:p>
    <w:p>
      <w:pPr>
        <w:spacing w:after="120" w:before="100" w:line="280"/>
        <w:ind w:left="420" w:hanging="420"/>
      </w:pPr>
      <w:r>
        <w:rPr>
          <w:b/>
          <w:bCs/>
          <w:color w:val="2C8F88"/>
          <w:sz w:val="21"/>
          <w:szCs w:val="21"/>
        </w:rPr>
        <w:t xml:space="preserve">7.2  </w:t>
      </w:r>
      <w:r>
        <w:rPr>
          <w:sz w:val="21"/>
          <w:szCs w:val="21"/>
        </w:rPr>
        <w:t xml:space="preserve">Where the Term includes Complimentary Months, those months fall at the end of the Term and are supplied at no charge. On a 6-month Term the Client pays for 5 months and receives 6; on a 12-month Term the Client pays for 10 and receives 12.</w:t>
      </w:r>
    </w:p>
    <w:p>
      <w:pPr>
        <w:spacing w:after="120" w:before="100" w:line="280"/>
        <w:ind w:left="420" w:hanging="420"/>
      </w:pPr>
      <w:r>
        <w:rPr>
          <w:b/>
          <w:bCs/>
          <w:color w:val="2C8F88"/>
          <w:sz w:val="21"/>
          <w:szCs w:val="21"/>
        </w:rPr>
        <w:t xml:space="preserve">7.3  </w:t>
      </w:r>
      <w:r>
        <w:rPr>
          <w:sz w:val="21"/>
          <w:szCs w:val="21"/>
        </w:rPr>
        <w:t xml:space="preserve">Complimentary Months are earned by completing the Term. If the engagement ends before the Term completes, for any reason, the Complimentary Months are simply not reached and no charge, adjustment or clawback arises in respect of them.</w:t>
      </w:r>
    </w:p>
    <w:p>
      <w:pPr>
        <w:spacing w:after="120" w:before="100" w:line="280"/>
        <w:ind w:left="420" w:hanging="420"/>
      </w:pPr>
      <w:r>
        <w:rPr>
          <w:b/>
          <w:bCs/>
          <w:color w:val="2C8F88"/>
          <w:sz w:val="21"/>
          <w:szCs w:val="21"/>
        </w:rPr>
        <w:t xml:space="preserve">7.4  </w:t>
      </w:r>
      <w:r>
        <w:rPr>
          <w:sz w:val="21"/>
          <w:szCs w:val="21"/>
        </w:rPr>
        <w:t xml:space="preserve">Discounts and Complimentary Months are personal to the Client, are not transferable, and carry no cash value.</w:t>
      </w:r>
    </w:p>
    <w:p>
      <w:pPr>
        <w:pStyle w:val="Heading1"/>
        <w:spacing w:after="150" w:before="340"/>
      </w:pPr>
      <w:r>
        <w:rPr>
          <w:b/>
          <w:bCs/>
          <w:color w:val="1A2B4A"/>
          <w:sz w:val="26"/>
          <w:szCs w:val="26"/>
        </w:rPr>
        <w:t xml:space="preserve">8. Client responsibilities and warranties</w:t>
      </w:r>
    </w:p>
    <w:p>
      <w:pPr>
        <w:spacing w:after="120" w:before="100" w:line="280"/>
        <w:ind w:left="420" w:hanging="420"/>
      </w:pPr>
      <w:r>
        <w:rPr>
          <w:b/>
          <w:bCs/>
          <w:color w:val="2C8F88"/>
          <w:sz w:val="21"/>
          <w:szCs w:val="21"/>
        </w:rPr>
        <w:t xml:space="preserve">8.1  </w:t>
      </w:r>
      <w:r>
        <w:rPr>
          <w:sz w:val="21"/>
          <w:szCs w:val="21"/>
        </w:rPr>
        <w:t xml:space="preserve">The Client will provide, promptly and in usable form, the Client Materials, approvals, feedback, information and account access reasonably required for us to perform the Services, and will nominate a single point of contact with authority to give approvals.</w:t>
      </w:r>
    </w:p>
    <w:p>
      <w:pPr>
        <w:spacing w:after="120" w:before="100" w:line="280"/>
        <w:ind w:left="420" w:hanging="420"/>
      </w:pPr>
      <w:r>
        <w:rPr>
          <w:b/>
          <w:bCs/>
          <w:color w:val="2C8F88"/>
          <w:sz w:val="21"/>
          <w:szCs w:val="21"/>
        </w:rPr>
        <w:t xml:space="preserve">8.2  </w:t>
      </w:r>
      <w:r>
        <w:rPr>
          <w:sz w:val="21"/>
          <w:szCs w:val="21"/>
        </w:rPr>
        <w:t xml:space="preserve">The Client warrants that it owns or is properly licensed to use all Client Materials, and that our use of them as contemplated by the Agreement will not infringe any third party’s intellectual property, privacy, publicity or other rights, nor breach any law, platform policy or advertising code.</w:t>
      </w:r>
    </w:p>
    <w:p>
      <w:pPr>
        <w:spacing w:after="120" w:before="100" w:line="280"/>
        <w:ind w:left="420" w:hanging="420"/>
      </w:pPr>
      <w:r>
        <w:rPr>
          <w:b/>
          <w:bCs/>
          <w:color w:val="2C8F88"/>
          <w:sz w:val="21"/>
          <w:szCs w:val="21"/>
        </w:rPr>
        <w:t xml:space="preserve">8.3  </w:t>
      </w:r>
      <w:r>
        <w:rPr>
          <w:sz w:val="21"/>
          <w:szCs w:val="21"/>
        </w:rPr>
        <w:t xml:space="preserve">The Client warrants that the information it provides about its business, products, services, qualifications, claims and results is accurate and not misleading, and that it holds any licence, registration or approval its business requires by law.</w:t>
      </w:r>
    </w:p>
    <w:p>
      <w:pPr>
        <w:spacing w:after="120" w:before="100" w:line="280"/>
        <w:ind w:left="420" w:hanging="420"/>
      </w:pPr>
      <w:r>
        <w:rPr>
          <w:b/>
          <w:bCs/>
          <w:color w:val="2C8F88"/>
          <w:sz w:val="21"/>
          <w:szCs w:val="21"/>
        </w:rPr>
        <w:t xml:space="preserve">8.4  </w:t>
      </w:r>
      <w:r>
        <w:rPr>
          <w:sz w:val="21"/>
          <w:szCs w:val="21"/>
        </w:rPr>
        <w:t xml:space="preserve">The Client is responsible for the final approval of anything published on its behalf. Once the Client approves material, the Client accepts responsibility for its publication.</w:t>
      </w:r>
    </w:p>
    <w:p>
      <w:pPr>
        <w:spacing w:after="120" w:before="100" w:line="280"/>
        <w:ind w:left="420" w:hanging="420"/>
      </w:pPr>
      <w:r>
        <w:rPr>
          <w:b/>
          <w:bCs/>
          <w:color w:val="2C8F88"/>
          <w:sz w:val="21"/>
          <w:szCs w:val="21"/>
        </w:rPr>
        <w:t xml:space="preserve">8.5  </w:t>
      </w:r>
      <w:r>
        <w:rPr>
          <w:sz w:val="21"/>
          <w:szCs w:val="21"/>
        </w:rPr>
        <w:t xml:space="preserve">The Client will not ask us to perform anything unlawful, deceptive, or in breach of a platform’s terms, and we may refuse any such instruction without liability.</w:t>
      </w:r>
    </w:p>
    <w:p>
      <w:pPr>
        <w:pStyle w:val="Heading1"/>
        <w:spacing w:after="150" w:before="340"/>
      </w:pPr>
      <w:r>
        <w:rPr>
          <w:b/>
          <w:bCs/>
          <w:color w:val="1A2B4A"/>
          <w:sz w:val="26"/>
          <w:szCs w:val="26"/>
        </w:rPr>
        <w:t xml:space="preserve">9. Third-party costs</w:t>
      </w:r>
    </w:p>
    <w:p>
      <w:pPr>
        <w:spacing w:after="120" w:before="100" w:line="280"/>
        <w:ind w:left="420" w:hanging="420"/>
      </w:pPr>
      <w:r>
        <w:rPr>
          <w:b/>
          <w:bCs/>
          <w:color w:val="2C8F88"/>
          <w:sz w:val="21"/>
          <w:szCs w:val="21"/>
        </w:rPr>
        <w:t xml:space="preserve">9.1  </w:t>
      </w:r>
      <w:r>
        <w:rPr>
          <w:sz w:val="21"/>
          <w:szCs w:val="21"/>
        </w:rPr>
        <w:t xml:space="preserve">The following are the Client’s own costs, paid by the Client directly to the relevant provider, purchased in the Client’s own name where applicable, and are not included in the Fees: advertising spend on any platform; domain registration; hosting; content management system, theme and plugin licences; premium stock, imagery, fonts and third-party software or tools; and photography and videography production.</w:t>
      </w:r>
    </w:p>
    <w:p>
      <w:pPr>
        <w:spacing w:after="120" w:before="100" w:line="280"/>
        <w:ind w:left="420" w:hanging="420"/>
      </w:pPr>
      <w:r>
        <w:rPr>
          <w:b/>
          <w:bCs/>
          <w:color w:val="2C8F88"/>
          <w:sz w:val="21"/>
          <w:szCs w:val="21"/>
        </w:rPr>
        <w:t xml:space="preserve">9.2  </w:t>
      </w:r>
      <w:r>
        <w:rPr>
          <w:sz w:val="21"/>
          <w:szCs w:val="21"/>
        </w:rPr>
        <w:t xml:space="preserve">We do not hold, control or receive advertising budget. It is charged by the platform to the Client’s own payment method. We are not responsible for any refund of unspent budget, which is governed by that platform’s rules and claimed by the Client directly.</w:t>
      </w:r>
    </w:p>
    <w:p>
      <w:pPr>
        <w:spacing w:after="120" w:before="100" w:line="280"/>
        <w:ind w:left="420" w:hanging="420"/>
      </w:pPr>
      <w:r>
        <w:rPr>
          <w:b/>
          <w:bCs/>
          <w:color w:val="2C8F88"/>
          <w:sz w:val="21"/>
          <w:szCs w:val="21"/>
        </w:rPr>
        <w:t xml:space="preserve">9.3  </w:t>
      </w:r>
      <w:r>
        <w:rPr>
          <w:sz w:val="21"/>
          <w:szCs w:val="21"/>
        </w:rPr>
        <w:t xml:space="preserve">Where we agree to procure a third-party item on the Client’s behalf, we do so as the Client’s agent and the cost is recharged at cost, with the Client remaining responsible for the underlying licence terms.</w:t>
      </w:r>
    </w:p>
    <w:p>
      <w:pPr>
        <w:pStyle w:val="Heading1"/>
        <w:spacing w:after="150" w:before="340"/>
      </w:pPr>
      <w:r>
        <w:rPr>
          <w:b/>
          <w:bCs/>
          <w:color w:val="1A2B4A"/>
          <w:sz w:val="26"/>
          <w:szCs w:val="26"/>
        </w:rPr>
        <w:t xml:space="preserve">10. Delivery, timelines and revisions</w:t>
      </w:r>
    </w:p>
    <w:p>
      <w:pPr>
        <w:spacing w:after="120" w:before="100" w:line="280"/>
        <w:ind w:left="420" w:hanging="420"/>
      </w:pPr>
      <w:r>
        <w:rPr>
          <w:b/>
          <w:bCs/>
          <w:color w:val="2C8F88"/>
          <w:sz w:val="21"/>
          <w:szCs w:val="21"/>
        </w:rPr>
        <w:t xml:space="preserve">10.1  </w:t>
      </w:r>
      <w:r>
        <w:rPr>
          <w:sz w:val="21"/>
          <w:szCs w:val="21"/>
        </w:rPr>
        <w:t xml:space="preserve">Timelines in the Proposal are good-faith estimates based on timely client cooperation. Time is not of the essence unless the Proposal expressly says so.</w:t>
      </w:r>
    </w:p>
    <w:p>
      <w:pPr>
        <w:spacing w:after="120" w:before="100" w:line="280"/>
        <w:ind w:left="420" w:hanging="420"/>
      </w:pPr>
      <w:r>
        <w:rPr>
          <w:b/>
          <w:bCs/>
          <w:color w:val="2C8F88"/>
          <w:sz w:val="21"/>
          <w:szCs w:val="21"/>
        </w:rPr>
        <w:t xml:space="preserve">10.2  </w:t>
      </w:r>
      <w:r>
        <w:rPr>
          <w:sz w:val="21"/>
          <w:szCs w:val="21"/>
        </w:rPr>
        <w:t xml:space="preserve">Deliverables include the number of revision rounds stated in the Proposal. Additional revisions, or changes requested after a Deliverable has been approved, are chargeable and quoted before being undertaken.</w:t>
      </w:r>
    </w:p>
    <w:p>
      <w:pPr>
        <w:spacing w:after="120" w:before="100" w:line="280"/>
        <w:ind w:left="420" w:hanging="420"/>
      </w:pPr>
      <w:r>
        <w:rPr>
          <w:b/>
          <w:bCs/>
          <w:color w:val="2C8F88"/>
          <w:sz w:val="21"/>
          <w:szCs w:val="21"/>
        </w:rPr>
        <w:t xml:space="preserve">10.3  </w:t>
      </w:r>
      <w:r>
        <w:rPr>
          <w:sz w:val="21"/>
          <w:szCs w:val="21"/>
        </w:rPr>
        <w:t xml:space="preserve">A Deliverable is deemed approved if the Client does not provide consolidated written feedback within 7 days of it being submitted for approval.</w:t>
      </w:r>
    </w:p>
    <w:p>
      <w:pPr>
        <w:spacing w:after="120" w:before="100" w:line="280"/>
        <w:ind w:left="420" w:hanging="420"/>
      </w:pPr>
      <w:r>
        <w:rPr>
          <w:b/>
          <w:bCs/>
          <w:color w:val="2C8F88"/>
          <w:sz w:val="21"/>
          <w:szCs w:val="21"/>
        </w:rPr>
        <w:t xml:space="preserve">10.4  </w:t>
      </w:r>
      <w:r>
        <w:rPr>
          <w:sz w:val="21"/>
          <w:szCs w:val="21"/>
        </w:rPr>
        <w:t xml:space="preserve">Where a Deliverable does not conform to what the Proposal describes, the Client will notify us in writing within 14 days of delivery and we will correct it at our cost as a priority. This is the Client’s primary remedy for non-conforming work.</w:t>
      </w:r>
    </w:p>
    <w:p>
      <w:pPr>
        <w:pStyle w:val="Heading1"/>
        <w:spacing w:after="150" w:before="340"/>
      </w:pPr>
      <w:r>
        <w:rPr>
          <w:b/>
          <w:bCs/>
          <w:color w:val="1A2B4A"/>
          <w:sz w:val="26"/>
          <w:szCs w:val="26"/>
        </w:rPr>
        <w:t xml:space="preserve">11. Client delay and inactivity</w:t>
      </w:r>
    </w:p>
    <w:p>
      <w:pPr>
        <w:spacing w:after="120" w:before="100" w:line="280"/>
        <w:ind w:left="420" w:hanging="420"/>
      </w:pPr>
      <w:r>
        <w:rPr>
          <w:b/>
          <w:bCs/>
          <w:color w:val="2C8F88"/>
          <w:sz w:val="21"/>
          <w:szCs w:val="21"/>
        </w:rPr>
        <w:t xml:space="preserve">11.1  </w:t>
      </w:r>
      <w:r>
        <w:rPr>
          <w:sz w:val="21"/>
          <w:szCs w:val="21"/>
        </w:rPr>
        <w:t xml:space="preserve">If the Client fails to provide materials, approvals, access or information for a continuous period of 30 days, we may treat the engagement as inactive.</w:t>
      </w:r>
    </w:p>
    <w:p>
      <w:pPr>
        <w:spacing w:after="120" w:before="100" w:line="280"/>
        <w:ind w:left="420" w:hanging="420"/>
      </w:pPr>
      <w:r>
        <w:rPr>
          <w:b/>
          <w:bCs/>
          <w:color w:val="2C8F88"/>
          <w:sz w:val="21"/>
          <w:szCs w:val="21"/>
        </w:rPr>
        <w:t xml:space="preserve">11.2  </w:t>
      </w:r>
      <w:r>
        <w:rPr>
          <w:sz w:val="21"/>
          <w:szCs w:val="21"/>
        </w:rPr>
        <w:t xml:space="preserve">An inactive engagement continues to consume the Term, and Fees for the affected months remain payable, because our capacity has been reserved and cannot be reallocated at short notice. We will give written notice before treating an engagement as inactive.</w:t>
      </w:r>
    </w:p>
    <w:p>
      <w:pPr>
        <w:spacing w:after="120" w:before="100" w:line="280"/>
        <w:ind w:left="420" w:hanging="420"/>
      </w:pPr>
      <w:r>
        <w:rPr>
          <w:b/>
          <w:bCs/>
          <w:color w:val="2C8F88"/>
          <w:sz w:val="21"/>
          <w:szCs w:val="21"/>
        </w:rPr>
        <w:t xml:space="preserve">11.3  </w:t>
      </w:r>
      <w:r>
        <w:rPr>
          <w:sz w:val="21"/>
          <w:szCs w:val="21"/>
        </w:rPr>
        <w:t xml:space="preserve">If inactivity continues for 60 days, we may terminate under clause 15 and the consequences in clause 16 apply as if we had terminated for the Client’s default. [Please confirm this is reasonable and enforceable, and advise on the notice we should give.]</w:t>
      </w:r>
    </w:p>
    <w:p>
      <w:pPr>
        <w:pStyle w:val="Heading1"/>
        <w:spacing w:after="150" w:before="340"/>
      </w:pPr>
      <w:r>
        <w:rPr>
          <w:b/>
          <w:bCs/>
          <w:color w:val="1A2B4A"/>
          <w:sz w:val="26"/>
          <w:szCs w:val="26"/>
        </w:rPr>
        <w:t xml:space="preserve">12. Service standards and performance</w:t>
      </w:r>
    </w:p>
    <w:p>
      <w:pPr>
        <w:spacing w:after="120" w:before="100" w:line="280"/>
        <w:ind w:left="420" w:hanging="420"/>
      </w:pPr>
      <w:r>
        <w:rPr>
          <w:b/>
          <w:bCs/>
          <w:color w:val="2C8F88"/>
          <w:sz w:val="21"/>
          <w:szCs w:val="21"/>
        </w:rPr>
        <w:t xml:space="preserve">12.1  </w:t>
      </w:r>
      <w:r>
        <w:rPr>
          <w:sz w:val="21"/>
          <w:szCs w:val="21"/>
        </w:rPr>
        <w:t xml:space="preserve">We commit to delivering the work described in the Proposal, to the volumes and cadence stated, with reasonable skill and care; to reporting against the enquiries and leads generated rather than vanity metrics; to labelling clearly which findings are verified from live data and which are self-reported; and to keeping the Client informed of what has been done and what is planned.</w:t>
      </w:r>
    </w:p>
    <w:p>
      <w:pPr>
        <w:spacing w:after="120" w:before="100" w:line="280"/>
        <w:ind w:left="420" w:hanging="420"/>
      </w:pPr>
      <w:r>
        <w:rPr>
          <w:b/>
          <w:bCs/>
          <w:color w:val="2C8F88"/>
          <w:sz w:val="21"/>
          <w:szCs w:val="21"/>
        </w:rPr>
        <w:t xml:space="preserve">12.2  </w:t>
      </w:r>
      <w:r>
        <w:rPr>
          <w:sz w:val="21"/>
          <w:szCs w:val="21"/>
        </w:rPr>
        <w:t xml:space="preserve">We do not warrant or guarantee any particular search ranking, volume of traffic, number of leads, conversion rate, cost per lead, revenue or other commercial outcome. Such results depend on search engine and artificial-intelligence ranking systems, advertising platform behaviour, competitor activity, seasonality, the Client’s own market, pricing, sales process and offering, and other factors outside our control.</w:t>
      </w:r>
    </w:p>
    <w:p>
      <w:pPr>
        <w:spacing w:after="120" w:before="100" w:line="280"/>
        <w:ind w:left="420" w:hanging="420"/>
      </w:pPr>
      <w:r>
        <w:rPr>
          <w:b/>
          <w:bCs/>
          <w:color w:val="2C8F88"/>
          <w:sz w:val="21"/>
          <w:szCs w:val="21"/>
        </w:rPr>
        <w:t xml:space="preserve">12.3  </w:t>
      </w:r>
      <w:r>
        <w:rPr>
          <w:sz w:val="21"/>
          <w:szCs w:val="21"/>
        </w:rPr>
        <w:t xml:space="preserve">No statement made by us, on our website, in marketing material, in a proposal, in a case study or verbally, is to be construed as a guarantee, warranty or condition as to any commercial outcome. Any figure describing past work for other clients is an illustration of that engagement only and is not a prediction or promise of comparable results.</w:t>
      </w:r>
    </w:p>
    <w:p>
      <w:pPr>
        <w:pStyle w:val="Heading1"/>
        <w:spacing w:after="150" w:before="340"/>
      </w:pPr>
      <w:r>
        <w:rPr>
          <w:b/>
          <w:bCs/>
          <w:color w:val="1A2B4A"/>
          <w:sz w:val="26"/>
          <w:szCs w:val="26"/>
        </w:rPr>
        <w:t xml:space="preserve">13. Suspension of Services</w:t>
      </w:r>
    </w:p>
    <w:p>
      <w:pPr>
        <w:spacing w:after="120" w:before="100" w:line="280"/>
        <w:ind w:left="420" w:hanging="420"/>
      </w:pPr>
      <w:r>
        <w:rPr>
          <w:b/>
          <w:bCs/>
          <w:color w:val="2C8F88"/>
          <w:sz w:val="21"/>
          <w:szCs w:val="21"/>
        </w:rPr>
        <w:t xml:space="preserve">13.1  </w:t>
      </w:r>
      <w:r>
        <w:rPr>
          <w:sz w:val="21"/>
          <w:szCs w:val="21"/>
        </w:rPr>
        <w:t xml:space="preserve">We may suspend all or part of the Services immediately on written notice where: an invoice is overdue; the Client is in material breach; the Client’s conduct or instructions would expose us to legal, regulatory or platform risk; or the Client has been inactive under clause 11.</w:t>
      </w:r>
    </w:p>
    <w:p>
      <w:pPr>
        <w:spacing w:after="120" w:before="100" w:line="280"/>
        <w:ind w:left="420" w:hanging="420"/>
      </w:pPr>
      <w:r>
        <w:rPr>
          <w:b/>
          <w:bCs/>
          <w:color w:val="2C8F88"/>
          <w:sz w:val="21"/>
          <w:szCs w:val="21"/>
        </w:rPr>
        <w:t xml:space="preserve">13.2  </w:t>
      </w:r>
      <w:r>
        <w:rPr>
          <w:sz w:val="21"/>
          <w:szCs w:val="21"/>
        </w:rPr>
        <w:t xml:space="preserve">Suspension does not extend the Term, does not entitle the Client to a refund or credit for the period of suspension, and does not prejudice any of our other rights, including the right to be paid Fees already earned or otherwise payable.</w:t>
      </w:r>
    </w:p>
    <w:p>
      <w:pPr>
        <w:spacing w:after="120" w:before="100" w:line="280"/>
        <w:ind w:left="420" w:hanging="420"/>
      </w:pPr>
      <w:r>
        <w:rPr>
          <w:b/>
          <w:bCs/>
          <w:color w:val="2C8F88"/>
          <w:sz w:val="21"/>
          <w:szCs w:val="21"/>
        </w:rPr>
        <w:t xml:space="preserve">13.3  </w:t>
      </w:r>
      <w:r>
        <w:rPr>
          <w:sz w:val="21"/>
          <w:szCs w:val="21"/>
        </w:rPr>
        <w:t xml:space="preserve">We will lift the suspension promptly once the cause has been remedied.</w:t>
      </w:r>
    </w:p>
    <w:p>
      <w:pPr>
        <w:pStyle w:val="Heading1"/>
        <w:spacing w:after="150" w:before="340"/>
      </w:pPr>
      <w:r>
        <w:rPr>
          <w:b/>
          <w:bCs/>
          <w:color w:val="1A2B4A"/>
          <w:sz w:val="26"/>
          <w:szCs w:val="26"/>
        </w:rPr>
        <w:t xml:space="preserve">14. Cancellation by the Client</w:t>
      </w:r>
    </w:p>
    <w:p>
      <w:pPr>
        <w:spacing w:after="120" w:before="100" w:line="280"/>
        <w:ind w:left="420" w:hanging="420"/>
      </w:pPr>
      <w:r>
        <w:rPr>
          <w:b/>
          <w:bCs/>
          <w:color w:val="2C8F88"/>
          <w:sz w:val="21"/>
          <w:szCs w:val="21"/>
        </w:rPr>
        <w:t xml:space="preserve">14.1  </w:t>
      </w:r>
      <w:r>
        <w:rPr>
          <w:sz w:val="21"/>
          <w:szCs w:val="21"/>
        </w:rPr>
        <w:t xml:space="preserve">The Client may cancel the engagement at any time by giving 30 days’ written notice.</w:t>
      </w:r>
    </w:p>
    <w:p>
      <w:pPr>
        <w:spacing w:after="120" w:before="100" w:line="280"/>
        <w:ind w:left="420" w:hanging="420"/>
      </w:pPr>
      <w:r>
        <w:rPr>
          <w:b/>
          <w:bCs/>
          <w:color w:val="2C8F88"/>
          <w:sz w:val="21"/>
          <w:szCs w:val="21"/>
        </w:rPr>
        <w:t xml:space="preserve">14.2  </w:t>
      </w:r>
      <w:r>
        <w:rPr>
          <w:sz w:val="21"/>
          <w:szCs w:val="21"/>
        </w:rPr>
        <w:t xml:space="preserve">We continue to deliver through the notice period and the Fees for that period remain payable. Any prepaid month that has not yet commenced at the end of the notice period is refunded under clause 16.</w:t>
      </w:r>
    </w:p>
    <w:p>
      <w:pPr>
        <w:spacing w:after="120" w:before="100" w:line="280"/>
        <w:ind w:left="420" w:hanging="420"/>
      </w:pPr>
      <w:r>
        <w:rPr>
          <w:b/>
          <w:bCs/>
          <w:color w:val="2C8F88"/>
          <w:sz w:val="21"/>
          <w:szCs w:val="21"/>
        </w:rPr>
        <w:t xml:space="preserve">14.3  </w:t>
      </w:r>
      <w:r>
        <w:rPr>
          <w:sz w:val="21"/>
          <w:szCs w:val="21"/>
        </w:rPr>
        <w:t xml:space="preserve">Where the Client cancels part-way through a Term, the Complimentary Months at the end of that Term are not reached and do not apply. No penalty, exit fee, or recalculation of the months already delivered is charged.</w:t>
      </w:r>
    </w:p>
    <w:p>
      <w:pPr>
        <w:spacing w:after="120" w:before="100" w:line="280"/>
        <w:ind w:left="420" w:hanging="420"/>
      </w:pPr>
      <w:r>
        <w:rPr>
          <w:b/>
          <w:bCs/>
          <w:color w:val="2C8F88"/>
          <w:sz w:val="21"/>
          <w:szCs w:val="21"/>
        </w:rPr>
        <w:t xml:space="preserve">14.4  </w:t>
      </w:r>
      <w:r>
        <w:rPr>
          <w:sz w:val="21"/>
          <w:szCs w:val="21"/>
        </w:rPr>
        <w:t xml:space="preserve">A one-time project may be cancelled before delivery, with payment due for the work completed to the date of cancellation.</w:t>
      </w:r>
    </w:p>
    <w:p>
      <w:pPr>
        <w:pStyle w:val="Heading1"/>
        <w:spacing w:after="150" w:before="340"/>
      </w:pPr>
      <w:r>
        <w:rPr>
          <w:b/>
          <w:bCs/>
          <w:color w:val="1A2B4A"/>
          <w:sz w:val="26"/>
          <w:szCs w:val="26"/>
        </w:rPr>
        <w:t xml:space="preserve">15. Cancellation and termination by us</w:t>
      </w:r>
    </w:p>
    <w:p>
      <w:pPr>
        <w:spacing w:after="120" w:before="100" w:line="280"/>
        <w:ind w:left="420" w:hanging="420"/>
      </w:pPr>
      <w:r>
        <w:rPr>
          <w:b/>
          <w:bCs/>
          <w:color w:val="2C8F88"/>
          <w:sz w:val="21"/>
          <w:szCs w:val="21"/>
        </w:rPr>
        <w:t xml:space="preserve">15.1  </w:t>
      </w:r>
      <w:r>
        <w:rPr>
          <w:sz w:val="21"/>
          <w:szCs w:val="21"/>
        </w:rPr>
        <w:t xml:space="preserve">We may cancel the engagement on 30 days’ written notice. If we do so for any reason other than the Client’s breach, non-payment or default, we will refund all prepaid Fees for Services not yet delivered, complete any work already invoiced and paid for, and hand over the Deliverables and account access in a usable state.</w:t>
      </w:r>
    </w:p>
    <w:p>
      <w:pPr>
        <w:spacing w:after="120" w:before="100" w:line="280"/>
        <w:ind w:left="420" w:hanging="420"/>
      </w:pPr>
      <w:r>
        <w:rPr>
          <w:b/>
          <w:bCs/>
          <w:color w:val="2C8F88"/>
          <w:sz w:val="21"/>
          <w:szCs w:val="21"/>
        </w:rPr>
        <w:t xml:space="preserve">15.2  </w:t>
      </w:r>
      <w:r>
        <w:rPr>
          <w:sz w:val="21"/>
          <w:szCs w:val="21"/>
        </w:rPr>
        <w:t xml:space="preserve">Either party may terminate immediately by written notice if the other commits a material breach that is not remedied within 14 days of written notice requiring it to be remedied, becomes insolvent or enters any insolvency process, or is required to cease by law.</w:t>
      </w:r>
    </w:p>
    <w:p>
      <w:pPr>
        <w:spacing w:after="120" w:before="100" w:line="280"/>
        <w:ind w:left="420" w:hanging="420"/>
      </w:pPr>
      <w:r>
        <w:rPr>
          <w:b/>
          <w:bCs/>
          <w:color w:val="2C8F88"/>
          <w:sz w:val="21"/>
          <w:szCs w:val="21"/>
        </w:rPr>
        <w:t xml:space="preserve">15.3  </w:t>
      </w:r>
      <w:r>
        <w:rPr>
          <w:sz w:val="21"/>
          <w:szCs w:val="21"/>
        </w:rPr>
        <w:t xml:space="preserve">Where the Client is in material breach we may suspend all Services immediately under clause 13 pending termination, without prejudice to our right to retain Fees already earned or otherwise payable under the Agreement.</w:t>
      </w:r>
    </w:p>
    <w:p>
      <w:pPr>
        <w:spacing w:after="120" w:before="100" w:line="280"/>
        <w:ind w:left="420" w:hanging="420"/>
      </w:pPr>
      <w:r>
        <w:rPr>
          <w:b/>
          <w:bCs/>
          <w:color w:val="2C8F88"/>
          <w:sz w:val="21"/>
          <w:szCs w:val="21"/>
        </w:rPr>
        <w:t xml:space="preserve">15.4  </w:t>
      </w:r>
      <w:r>
        <w:rPr>
          <w:sz w:val="21"/>
          <w:szCs w:val="21"/>
        </w:rPr>
        <w:t xml:space="preserve">We may terminate immediately, without a cure period, if the Client’s conduct is unlawful, abusive toward our personnel, or would require us to breach a law or platform policy.</w:t>
      </w:r>
    </w:p>
    <w:p>
      <w:pPr>
        <w:pStyle w:val="Heading1"/>
        <w:spacing w:after="150" w:before="340"/>
      </w:pPr>
      <w:r>
        <w:rPr>
          <w:b/>
          <w:bCs/>
          <w:color w:val="1A2B4A"/>
          <w:sz w:val="26"/>
          <w:szCs w:val="26"/>
        </w:rPr>
        <w:t xml:space="preserve">16. Refunds and credits</w:t>
      </w:r>
    </w:p>
    <w:p>
      <w:pPr>
        <w:spacing w:after="140" w:line="280"/>
      </w:pPr>
      <w:r>
        <w:rPr>
          <w:b w:val="false"/>
          <w:bCs w:val="false"/>
          <w:i/>
          <w:iCs/>
          <w:color w:val="222222"/>
          <w:sz w:val="21"/>
          <w:szCs w:val="21"/>
        </w:rPr>
        <w:t xml:space="preserve">Because the Term is paid in advance, this clause is central to the bargain, so each case is stated separately.</w:t>
      </w:r>
    </w:p>
    <w:p>
      <w:pPr>
        <w:spacing w:after="120" w:before="100" w:line="280"/>
        <w:ind w:left="420" w:hanging="420"/>
      </w:pPr>
      <w:r>
        <w:rPr>
          <w:b/>
          <w:bCs/>
          <w:color w:val="2C8F88"/>
          <w:sz w:val="21"/>
          <w:szCs w:val="21"/>
        </w:rPr>
        <w:t xml:space="preserve">16.1  </w:t>
      </w:r>
      <w:r>
        <w:rPr>
          <w:sz w:val="21"/>
          <w:szCs w:val="21"/>
        </w:rPr>
        <w:t xml:space="preserve">Fees for Services already delivered are not refundable in any circumstance, because the work has been performed and the capacity consumed.</w:t>
      </w:r>
    </w:p>
    <w:p>
      <w:pPr>
        <w:spacing w:after="120" w:before="100" w:line="280"/>
        <w:ind w:left="420" w:hanging="420"/>
      </w:pPr>
      <w:r>
        <w:rPr>
          <w:b/>
          <w:bCs/>
          <w:color w:val="2C8F88"/>
          <w:sz w:val="21"/>
          <w:szCs w:val="21"/>
        </w:rPr>
        <w:t xml:space="preserve">16.2  </w:t>
      </w:r>
      <w:r>
        <w:rPr>
          <w:sz w:val="21"/>
          <w:szCs w:val="21"/>
        </w:rPr>
        <w:t xml:space="preserve">Where the Client cancels on notice under clause 14 and we are not in breach: the notice period is delivered and payable, and any prepaid month that has not yet commenced is refunded within 14 working days.</w:t>
      </w:r>
    </w:p>
    <w:p>
      <w:pPr>
        <w:spacing w:after="120" w:before="100" w:line="280"/>
        <w:ind w:left="420" w:hanging="420"/>
      </w:pPr>
      <w:r>
        <w:rPr>
          <w:b/>
          <w:bCs/>
          <w:color w:val="2C8F88"/>
          <w:sz w:val="21"/>
          <w:szCs w:val="21"/>
        </w:rPr>
        <w:t xml:space="preserve">16.3  </w:t>
      </w:r>
      <w:r>
        <w:rPr>
          <w:sz w:val="21"/>
          <w:szCs w:val="21"/>
        </w:rPr>
        <w:t xml:space="preserve">Where we terminate because of the Client’s material breach, non-payment or other default: the Client is not entitled to a refund of the billing month in progress, because the capacity and work for that month are already committed and cannot be reallocated; any prepaid month that has not yet commenced is nonetheless refunded within 14 working days. [Please confirm this reflects genuine committed cost rather than a penalty, and so sits on the right side of section 74 of the Indian Contract Act, 1872.]</w:t>
      </w:r>
    </w:p>
    <w:p>
      <w:pPr>
        <w:spacing w:after="120" w:before="100" w:line="280"/>
        <w:ind w:left="420" w:hanging="420"/>
      </w:pPr>
      <w:r>
        <w:rPr>
          <w:b/>
          <w:bCs/>
          <w:color w:val="2C8F88"/>
          <w:sz w:val="21"/>
          <w:szCs w:val="21"/>
        </w:rPr>
        <w:t xml:space="preserve">16.4  </w:t>
      </w:r>
      <w:r>
        <w:rPr>
          <w:sz w:val="21"/>
          <w:szCs w:val="21"/>
        </w:rPr>
        <w:t xml:space="preserve">Where we cancel or terminate for any reason other than the Client’s breach, non-payment or default: all prepaid Fees for Services not yet delivered are refunded in full within 14 working days.</w:t>
      </w:r>
    </w:p>
    <w:p>
      <w:pPr>
        <w:spacing w:after="120" w:before="100" w:line="280"/>
        <w:ind w:left="420" w:hanging="420"/>
      </w:pPr>
      <w:r>
        <w:rPr>
          <w:b/>
          <w:bCs/>
          <w:color w:val="2C8F88"/>
          <w:sz w:val="21"/>
          <w:szCs w:val="21"/>
        </w:rPr>
        <w:t xml:space="preserve">16.5  </w:t>
      </w:r>
      <w:r>
        <w:rPr>
          <w:sz w:val="21"/>
          <w:szCs w:val="21"/>
        </w:rPr>
        <w:t xml:space="preserve">For one-time projects, the commencement payment is refundable only to the extent it exceeds the value of the work completed at the point of cancellation.</w:t>
      </w:r>
    </w:p>
    <w:p>
      <w:pPr>
        <w:spacing w:after="120" w:before="100" w:line="280"/>
        <w:ind w:left="420" w:hanging="420"/>
      </w:pPr>
      <w:r>
        <w:rPr>
          <w:b/>
          <w:bCs/>
          <w:color w:val="2C8F88"/>
          <w:sz w:val="21"/>
          <w:szCs w:val="21"/>
        </w:rPr>
        <w:t xml:space="preserve">16.6  </w:t>
      </w:r>
      <w:r>
        <w:rPr>
          <w:sz w:val="21"/>
          <w:szCs w:val="21"/>
        </w:rPr>
        <w:t xml:space="preserve">Third-Party Costs are not refundable by us. They are governed by the relevant provider’s own terms and claimed by the Client directly.</w:t>
      </w:r>
    </w:p>
    <w:p>
      <w:pPr>
        <w:spacing w:after="120" w:before="100" w:line="280"/>
        <w:ind w:left="420" w:hanging="420"/>
      </w:pPr>
      <w:r>
        <w:rPr>
          <w:b/>
          <w:bCs/>
          <w:color w:val="2C8F88"/>
          <w:sz w:val="21"/>
          <w:szCs w:val="21"/>
        </w:rPr>
        <w:t xml:space="preserve">16.7  </w:t>
      </w:r>
      <w:r>
        <w:rPr>
          <w:sz w:val="21"/>
          <w:szCs w:val="21"/>
        </w:rPr>
        <w:t xml:space="preserve">Refunds are made to the original payment method, in the currency invoiced, net of any irrecoverable bank or gateway charge. At the Client’s election a refund may instead be issued as a credit against future work.</w:t>
      </w:r>
    </w:p>
    <w:p>
      <w:pPr>
        <w:pStyle w:val="Heading1"/>
        <w:spacing w:after="150" w:before="340"/>
      </w:pPr>
      <w:r>
        <w:rPr>
          <w:b/>
          <w:bCs/>
          <w:color w:val="1A2B4A"/>
          <w:sz w:val="26"/>
          <w:szCs w:val="26"/>
        </w:rPr>
        <w:t xml:space="preserve">17. Third-party platforms</w:t>
      </w:r>
    </w:p>
    <w:p>
      <w:pPr>
        <w:spacing w:after="120" w:before="100" w:line="280"/>
        <w:ind w:left="420" w:hanging="420"/>
      </w:pPr>
      <w:r>
        <w:rPr>
          <w:b/>
          <w:bCs/>
          <w:color w:val="2C8F88"/>
          <w:sz w:val="21"/>
          <w:szCs w:val="21"/>
        </w:rPr>
        <w:t xml:space="preserve">17.1  </w:t>
      </w:r>
      <w:r>
        <w:rPr>
          <w:sz w:val="21"/>
          <w:szCs w:val="21"/>
        </w:rPr>
        <w:t xml:space="preserve">The Services depend on third-party platforms including search engines, advertising networks, social media platforms, hosting providers, analytics tools and content management systems. We do not control them.</w:t>
      </w:r>
    </w:p>
    <w:p>
      <w:pPr>
        <w:spacing w:after="120" w:before="100" w:line="280"/>
        <w:ind w:left="420" w:hanging="420"/>
      </w:pPr>
      <w:r>
        <w:rPr>
          <w:b/>
          <w:bCs/>
          <w:color w:val="2C8F88"/>
          <w:sz w:val="21"/>
          <w:szCs w:val="21"/>
        </w:rPr>
        <w:t xml:space="preserve">17.2  </w:t>
      </w:r>
      <w:r>
        <w:rPr>
          <w:sz w:val="21"/>
          <w:szCs w:val="21"/>
        </w:rPr>
        <w:t xml:space="preserve">We are not liable for any change to, interruption in, suspension of, restriction by, pricing change by, or decision taken by any such platform, including account suspension, disapproval of advertising, changes to ranking systems, or loss of data or access caused by the platform.</w:t>
      </w:r>
    </w:p>
    <w:p>
      <w:pPr>
        <w:spacing w:after="120" w:before="100" w:line="280"/>
        <w:ind w:left="420" w:hanging="420"/>
      </w:pPr>
      <w:r>
        <w:rPr>
          <w:b/>
          <w:bCs/>
          <w:color w:val="2C8F88"/>
          <w:sz w:val="21"/>
          <w:szCs w:val="21"/>
        </w:rPr>
        <w:t xml:space="preserve">17.3  </w:t>
      </w:r>
      <w:r>
        <w:rPr>
          <w:sz w:val="21"/>
          <w:szCs w:val="21"/>
        </w:rPr>
        <w:t xml:space="preserve">The Client is responsible for maintaining its own accounts with such platforms, for complying with their terms, and for retaining ownership of and access to those accounts.</w:t>
      </w:r>
    </w:p>
    <w:p>
      <w:pPr>
        <w:pStyle w:val="Heading1"/>
        <w:spacing w:after="150" w:before="340"/>
      </w:pPr>
      <w:r>
        <w:rPr>
          <w:b/>
          <w:bCs/>
          <w:color w:val="1A2B4A"/>
          <w:sz w:val="26"/>
          <w:szCs w:val="26"/>
        </w:rPr>
        <w:t xml:space="preserve">18. Free tools and estimates on our website</w:t>
      </w:r>
    </w:p>
    <w:p>
      <w:pPr>
        <w:spacing w:after="120" w:before="100" w:line="280"/>
        <w:ind w:left="420" w:hanging="420"/>
      </w:pPr>
      <w:r>
        <w:rPr>
          <w:b/>
          <w:bCs/>
          <w:color w:val="2C8F88"/>
          <w:sz w:val="21"/>
          <w:szCs w:val="21"/>
        </w:rPr>
        <w:t xml:space="preserve">18.1  </w:t>
      </w:r>
      <w:r>
        <w:rPr>
          <w:sz w:val="21"/>
          <w:szCs w:val="21"/>
        </w:rPr>
        <w:t xml:space="preserve">The self-serve tools on our website generate directional estimates from either data fetched live from a page submitted by the user or information self-reported by the user, and each result is labelled accordingly.</w:t>
      </w:r>
    </w:p>
    <w:p>
      <w:pPr>
        <w:spacing w:after="120" w:before="100" w:line="280"/>
        <w:ind w:left="420" w:hanging="420"/>
      </w:pPr>
      <w:r>
        <w:rPr>
          <w:b/>
          <w:bCs/>
          <w:color w:val="2C8F88"/>
          <w:sz w:val="21"/>
          <w:szCs w:val="21"/>
        </w:rPr>
        <w:t xml:space="preserve">18.2  </w:t>
      </w:r>
      <w:r>
        <w:rPr>
          <w:sz w:val="21"/>
          <w:szCs w:val="21"/>
        </w:rPr>
        <w:t xml:space="preserve">Those tools do not constitute a professional audit or advice, are provided "as is" without warranty of any kind, and are not to be relied upon as the basis of any decision. Quotations they produce are indicative and are superseded by the Proposal.</w:t>
      </w:r>
    </w:p>
    <w:p>
      <w:pPr>
        <w:pStyle w:val="Heading1"/>
        <w:spacing w:after="150" w:before="340"/>
      </w:pPr>
      <w:r>
        <w:rPr>
          <w:b/>
          <w:bCs/>
          <w:color w:val="1A2B4A"/>
          <w:sz w:val="26"/>
          <w:szCs w:val="26"/>
        </w:rPr>
        <w:t xml:space="preserve">19. Use of artificial intelligence in delivery</w:t>
      </w:r>
    </w:p>
    <w:p>
      <w:pPr>
        <w:spacing w:after="120" w:before="100" w:line="280"/>
        <w:ind w:left="420" w:hanging="420"/>
      </w:pPr>
      <w:r>
        <w:rPr>
          <w:b/>
          <w:bCs/>
          <w:color w:val="2C8F88"/>
          <w:sz w:val="21"/>
          <w:szCs w:val="21"/>
        </w:rPr>
        <w:t xml:space="preserve">19.1  </w:t>
      </w:r>
      <w:r>
        <w:rPr>
          <w:sz w:val="21"/>
          <w:szCs w:val="21"/>
        </w:rPr>
        <w:t xml:space="preserve">We may use artificial-intelligence tools to assist in research, drafting, analysis, production and quality assurance. All output is reviewed by a human before it is delivered, and we remain fully responsible for the Deliverables as though produced without such assistance.</w:t>
      </w:r>
    </w:p>
    <w:p>
      <w:pPr>
        <w:spacing w:after="120" w:before="100" w:line="280"/>
        <w:ind w:left="420" w:hanging="420"/>
      </w:pPr>
      <w:r>
        <w:rPr>
          <w:b/>
          <w:bCs/>
          <w:color w:val="2C8F88"/>
          <w:sz w:val="21"/>
          <w:szCs w:val="21"/>
        </w:rPr>
        <w:t xml:space="preserve">19.2  </w:t>
      </w:r>
      <w:r>
        <w:rPr>
          <w:sz w:val="21"/>
          <w:szCs w:val="21"/>
        </w:rPr>
        <w:t xml:space="preserve">We will not input the Client’s confidential information into a public or consumer artificial-intelligence tool in a way that permits the provider to train on it.</w:t>
      </w:r>
    </w:p>
    <w:p>
      <w:pPr>
        <w:spacing w:after="120" w:before="100" w:line="280"/>
        <w:ind w:left="420" w:hanging="420"/>
      </w:pPr>
      <w:r>
        <w:rPr>
          <w:b/>
          <w:bCs/>
          <w:color w:val="2C8F88"/>
          <w:sz w:val="21"/>
          <w:szCs w:val="21"/>
        </w:rPr>
        <w:t xml:space="preserve">19.3  </w:t>
      </w:r>
      <w:r>
        <w:rPr>
          <w:sz w:val="21"/>
          <w:szCs w:val="21"/>
        </w:rPr>
        <w:t xml:space="preserve">The Client acknowledges that the law relating to artificial-intelligence output continues to develop. Our obligations in respect of Deliverables are those stated in this Agreement, and no additional warranty as to the provenance or copyrightability of machine-assisted output is given beyond clause 21. [Please advise whether this disclosure is sufficient, and whether any consent or notification is required.]</w:t>
      </w:r>
    </w:p>
    <w:p>
      <w:pPr>
        <w:pStyle w:val="Heading1"/>
        <w:spacing w:after="150" w:before="340"/>
      </w:pPr>
      <w:r>
        <w:rPr>
          <w:b/>
          <w:bCs/>
          <w:color w:val="1A2B4A"/>
          <w:sz w:val="26"/>
          <w:szCs w:val="26"/>
        </w:rPr>
        <w:t xml:space="preserve">20. Subcontractors and personnel</w:t>
      </w:r>
    </w:p>
    <w:p>
      <w:pPr>
        <w:spacing w:after="120" w:before="100" w:line="280"/>
        <w:ind w:left="420" w:hanging="420"/>
      </w:pPr>
      <w:r>
        <w:rPr>
          <w:b/>
          <w:bCs/>
          <w:color w:val="2C8F88"/>
          <w:sz w:val="21"/>
          <w:szCs w:val="21"/>
        </w:rPr>
        <w:t xml:space="preserve">20.1  </w:t>
      </w:r>
      <w:r>
        <w:rPr>
          <w:sz w:val="21"/>
          <w:szCs w:val="21"/>
        </w:rPr>
        <w:t xml:space="preserve">We may engage subcontractors, freelancers and specialist suppliers to perform any part of the Services. We remain responsible to the Client for work performed by them as if performed by us, and we will bind them to confidentiality obligations no less protective than those in this Agreement.</w:t>
      </w:r>
    </w:p>
    <w:p>
      <w:pPr>
        <w:spacing w:after="120" w:before="100" w:line="280"/>
        <w:ind w:left="420" w:hanging="420"/>
      </w:pPr>
      <w:r>
        <w:rPr>
          <w:b/>
          <w:bCs/>
          <w:color w:val="2C8F88"/>
          <w:sz w:val="21"/>
          <w:szCs w:val="21"/>
        </w:rPr>
        <w:t xml:space="preserve">20.2  </w:t>
      </w:r>
      <w:r>
        <w:rPr>
          <w:sz w:val="21"/>
          <w:szCs w:val="21"/>
        </w:rPr>
        <w:t xml:space="preserve">Neither party will, during the engagement and for 12 months afterwards, directly or indirectly solicit for employment or engagement any person the other has engaged in connection with the Services, without the other’s prior written consent. This does not restrict a general public advertisement not targeted at such persons. [Please confirm this restraint is reasonable in scope and duration, and enforceable under section 27 of the Indian Contract Act.]</w:t>
      </w:r>
    </w:p>
    <w:p>
      <w:pPr>
        <w:spacing w:after="120" w:before="100" w:line="280"/>
        <w:ind w:left="420" w:hanging="420"/>
      </w:pPr>
      <w:r>
        <w:rPr>
          <w:b/>
          <w:bCs/>
          <w:color w:val="2C8F88"/>
          <w:sz w:val="21"/>
          <w:szCs w:val="21"/>
        </w:rPr>
        <w:t xml:space="preserve">20.3  </w:t>
      </w:r>
      <w:r>
        <w:rPr>
          <w:sz w:val="21"/>
          <w:szCs w:val="21"/>
        </w:rPr>
        <w:t xml:space="preserve">Nothing in this Agreement creates a partnership, joint venture, agency or employment relationship between the parties.</w:t>
      </w:r>
    </w:p>
    <w:p>
      <w:pPr>
        <w:pStyle w:val="Heading1"/>
        <w:spacing w:after="150" w:before="340"/>
      </w:pPr>
      <w:r>
        <w:rPr>
          <w:b/>
          <w:bCs/>
          <w:color w:val="1A2B4A"/>
          <w:sz w:val="26"/>
          <w:szCs w:val="26"/>
        </w:rPr>
        <w:t xml:space="preserve">21. Intellectual property</w:t>
      </w:r>
    </w:p>
    <w:p>
      <w:pPr>
        <w:spacing w:after="120" w:before="100" w:line="280"/>
        <w:ind w:left="420" w:hanging="420"/>
      </w:pPr>
      <w:r>
        <w:rPr>
          <w:b/>
          <w:bCs/>
          <w:color w:val="2C8F88"/>
          <w:sz w:val="21"/>
          <w:szCs w:val="21"/>
        </w:rPr>
        <w:t xml:space="preserve">21.1  </w:t>
      </w:r>
      <w:r>
        <w:rPr>
          <w:sz w:val="21"/>
          <w:szCs w:val="21"/>
        </w:rPr>
        <w:t xml:space="preserve">Each party retains ownership of the intellectual property it owned before the engagement, and of anything it develops independently of it.</w:t>
      </w:r>
    </w:p>
    <w:p>
      <w:pPr>
        <w:spacing w:after="120" w:before="100" w:line="280"/>
        <w:ind w:left="420" w:hanging="420"/>
      </w:pPr>
      <w:r>
        <w:rPr>
          <w:b/>
          <w:bCs/>
          <w:color w:val="2C8F88"/>
          <w:sz w:val="21"/>
          <w:szCs w:val="21"/>
        </w:rPr>
        <w:t xml:space="preserve">21.2  </w:t>
      </w:r>
      <w:r>
        <w:rPr>
          <w:sz w:val="21"/>
          <w:szCs w:val="21"/>
        </w:rPr>
        <w:t xml:space="preserve">On receipt of payment in full of all Fees due under the Agreement, we assign to the Client the intellectual property rights in the final Deliverables created specifically for the Client. Until payment in full is received, all rights in the Deliverables remain with us and the Client has no licence to use them.</w:t>
      </w:r>
    </w:p>
    <w:p>
      <w:pPr>
        <w:spacing w:after="120" w:before="100" w:line="280"/>
        <w:ind w:left="420" w:hanging="420"/>
      </w:pPr>
      <w:r>
        <w:rPr>
          <w:b/>
          <w:bCs/>
          <w:color w:val="2C8F88"/>
          <w:sz w:val="21"/>
          <w:szCs w:val="21"/>
        </w:rPr>
        <w:t xml:space="preserve">21.3  </w:t>
      </w:r>
      <w:r>
        <w:rPr>
          <w:sz w:val="21"/>
          <w:szCs w:val="21"/>
        </w:rPr>
        <w:t xml:space="preserve">We retain ownership of our pre-existing and generally applicable tools, methods, frameworks, templates, scripts, processes, know-how and analytical models, including anything developed while performing the Services that is of general application and not specific to the Client. Where any such material is embedded in a Deliverable, we grant the Client a perpetual, non-exclusive, royalty-free licence to use it as part of that Deliverable.</w:t>
      </w:r>
    </w:p>
    <w:p>
      <w:pPr>
        <w:spacing w:after="120" w:before="100" w:line="280"/>
        <w:ind w:left="420" w:hanging="420"/>
      </w:pPr>
      <w:r>
        <w:rPr>
          <w:b/>
          <w:bCs/>
          <w:color w:val="2C8F88"/>
          <w:sz w:val="21"/>
          <w:szCs w:val="21"/>
        </w:rPr>
        <w:t xml:space="preserve">21.4  </w:t>
      </w:r>
      <w:r>
        <w:rPr>
          <w:sz w:val="21"/>
          <w:szCs w:val="21"/>
        </w:rPr>
        <w:t xml:space="preserve">The Client grants us a non-exclusive licence to use the Client Materials for the purposes of performing the Services for the duration of the engagement.</w:t>
      </w:r>
    </w:p>
    <w:p>
      <w:pPr>
        <w:spacing w:after="120" w:before="100" w:line="280"/>
        <w:ind w:left="420" w:hanging="420"/>
      </w:pPr>
      <w:r>
        <w:rPr>
          <w:b/>
          <w:bCs/>
          <w:color w:val="2C8F88"/>
          <w:sz w:val="21"/>
          <w:szCs w:val="21"/>
        </w:rPr>
        <w:t xml:space="preserve">21.5  </w:t>
      </w:r>
      <w:r>
        <w:rPr>
          <w:sz w:val="21"/>
          <w:szCs w:val="21"/>
        </w:rPr>
        <w:t xml:space="preserve">Deliverables are supplied for the Client’s own business use. The Client may not resell, sublicense or distribute them as a standalone product.</w:t>
      </w:r>
    </w:p>
    <w:p>
      <w:pPr>
        <w:pStyle w:val="Heading1"/>
        <w:spacing w:after="150" w:before="340"/>
      </w:pPr>
      <w:r>
        <w:rPr>
          <w:b/>
          <w:bCs/>
          <w:color w:val="1A2B4A"/>
          <w:sz w:val="26"/>
          <w:szCs w:val="26"/>
        </w:rPr>
        <w:t xml:space="preserve">22. Portfolio and publicity</w:t>
      </w:r>
    </w:p>
    <w:p>
      <w:pPr>
        <w:spacing w:after="120" w:before="100" w:line="280"/>
        <w:ind w:left="420" w:hanging="420"/>
      </w:pPr>
      <w:r>
        <w:rPr>
          <w:b/>
          <w:bCs/>
          <w:color w:val="2C8F88"/>
          <w:sz w:val="21"/>
          <w:szCs w:val="21"/>
        </w:rPr>
        <w:t xml:space="preserve">22.1  </w:t>
      </w:r>
      <w:r>
        <w:rPr>
          <w:sz w:val="21"/>
          <w:szCs w:val="21"/>
        </w:rPr>
        <w:t xml:space="preserve">We may identify the Client as a client, and describe and display non-confidential work performed, in our portfolio, case studies, website, proposals and marketing, unless the Client tells us in writing that it prefers us not to, in which case we will stop within a reasonable period.</w:t>
      </w:r>
    </w:p>
    <w:p>
      <w:pPr>
        <w:spacing w:after="120" w:before="100" w:line="280"/>
        <w:ind w:left="420" w:hanging="420"/>
      </w:pPr>
      <w:r>
        <w:rPr>
          <w:b/>
          <w:bCs/>
          <w:color w:val="2C8F88"/>
          <w:sz w:val="21"/>
          <w:szCs w:val="21"/>
        </w:rPr>
        <w:t xml:space="preserve">22.2  </w:t>
      </w:r>
      <w:r>
        <w:rPr>
          <w:sz w:val="21"/>
          <w:szCs w:val="21"/>
        </w:rPr>
        <w:t xml:space="preserve">We will not disclose figures the Client has told us in writing are confidential.</w:t>
      </w:r>
    </w:p>
    <w:p>
      <w:pPr>
        <w:pStyle w:val="Heading1"/>
        <w:spacing w:after="150" w:before="340"/>
      </w:pPr>
      <w:r>
        <w:rPr>
          <w:b/>
          <w:bCs/>
          <w:color w:val="1A2B4A"/>
          <w:sz w:val="26"/>
          <w:szCs w:val="26"/>
        </w:rPr>
        <w:t xml:space="preserve">23. Confidentiality</w:t>
      </w:r>
    </w:p>
    <w:p>
      <w:pPr>
        <w:spacing w:after="120" w:before="100" w:line="280"/>
        <w:ind w:left="420" w:hanging="420"/>
      </w:pPr>
      <w:r>
        <w:rPr>
          <w:b/>
          <w:bCs/>
          <w:color w:val="2C8F88"/>
          <w:sz w:val="21"/>
          <w:szCs w:val="21"/>
        </w:rPr>
        <w:t xml:space="preserve">23.1  </w:t>
      </w:r>
      <w:r>
        <w:rPr>
          <w:sz w:val="21"/>
          <w:szCs w:val="21"/>
        </w:rPr>
        <w:t xml:space="preserve">Each party will keep the other’s non-public information confidential, use it only for the purposes of the engagement, and protect it with at least reasonable care.</w:t>
      </w:r>
    </w:p>
    <w:p>
      <w:pPr>
        <w:spacing w:after="120" w:before="100" w:line="280"/>
        <w:ind w:left="420" w:hanging="420"/>
      </w:pPr>
      <w:r>
        <w:rPr>
          <w:b/>
          <w:bCs/>
          <w:color w:val="2C8F88"/>
          <w:sz w:val="21"/>
          <w:szCs w:val="21"/>
        </w:rPr>
        <w:t xml:space="preserve">23.2  </w:t>
      </w:r>
      <w:r>
        <w:rPr>
          <w:sz w:val="21"/>
          <w:szCs w:val="21"/>
        </w:rPr>
        <w:t xml:space="preserve">This does not apply to information that is or becomes public other than by breach, was already known without obligation of confidence, is independently developed, or must be disclosed by law or a competent authority, provided that where lawful the disclosing party is given notice.</w:t>
      </w:r>
    </w:p>
    <w:p>
      <w:pPr>
        <w:spacing w:after="120" w:before="100" w:line="280"/>
        <w:ind w:left="420" w:hanging="420"/>
      </w:pPr>
      <w:r>
        <w:rPr>
          <w:b/>
          <w:bCs/>
          <w:color w:val="2C8F88"/>
          <w:sz w:val="21"/>
          <w:szCs w:val="21"/>
        </w:rPr>
        <w:t xml:space="preserve">23.3  </w:t>
      </w:r>
      <w:r>
        <w:rPr>
          <w:sz w:val="21"/>
          <w:szCs w:val="21"/>
        </w:rPr>
        <w:t xml:space="preserve">These obligations continue for 3 years after the engagement ends, and indefinitely in respect of anything constituting a trade secret.</w:t>
      </w:r>
    </w:p>
    <w:p>
      <w:pPr>
        <w:pStyle w:val="Heading1"/>
        <w:spacing w:after="150" w:before="340"/>
      </w:pPr>
      <w:r>
        <w:rPr>
          <w:b/>
          <w:bCs/>
          <w:color w:val="1A2B4A"/>
          <w:sz w:val="26"/>
          <w:szCs w:val="26"/>
        </w:rPr>
        <w:t xml:space="preserve">24. Data protection</w:t>
      </w:r>
    </w:p>
    <w:p>
      <w:pPr>
        <w:spacing w:after="120" w:before="100" w:line="280"/>
        <w:ind w:left="420" w:hanging="420"/>
      </w:pPr>
      <w:r>
        <w:rPr>
          <w:b/>
          <w:bCs/>
          <w:color w:val="2C8F88"/>
          <w:sz w:val="21"/>
          <w:szCs w:val="21"/>
        </w:rPr>
        <w:t xml:space="preserve">24.1  </w:t>
      </w:r>
      <w:r>
        <w:rPr>
          <w:sz w:val="21"/>
          <w:szCs w:val="21"/>
        </w:rPr>
        <w:t xml:space="preserve">Each party will comply with applicable data protection law, including the Digital Personal Data Protection Act, 2023 where it applies, in respect of personal data processed in connection with the engagement.</w:t>
      </w:r>
    </w:p>
    <w:p>
      <w:pPr>
        <w:spacing w:after="120" w:before="100" w:line="280"/>
        <w:ind w:left="420" w:hanging="420"/>
      </w:pPr>
      <w:r>
        <w:rPr>
          <w:b/>
          <w:bCs/>
          <w:color w:val="2C8F88"/>
          <w:sz w:val="21"/>
          <w:szCs w:val="21"/>
        </w:rPr>
        <w:t xml:space="preserve">24.2  </w:t>
      </w:r>
      <w:r>
        <w:rPr>
          <w:sz w:val="21"/>
          <w:szCs w:val="21"/>
        </w:rPr>
        <w:t xml:space="preserve">Where we process personal data on the Client’s behalf, we do so only on the Client’s documented instructions, apply reasonable technical and organisational security measures, and will notify the Client without undue delay on becoming aware of a personal data breach affecting that data.</w:t>
      </w:r>
    </w:p>
    <w:p>
      <w:pPr>
        <w:spacing w:after="120" w:before="100" w:line="280"/>
        <w:ind w:left="420" w:hanging="420"/>
      </w:pPr>
      <w:r>
        <w:rPr>
          <w:b/>
          <w:bCs/>
          <w:color w:val="2C8F88"/>
          <w:sz w:val="21"/>
          <w:szCs w:val="21"/>
        </w:rPr>
        <w:t xml:space="preserve">24.3  </w:t>
      </w:r>
      <w:r>
        <w:rPr>
          <w:sz w:val="21"/>
          <w:szCs w:val="21"/>
        </w:rPr>
        <w:t xml:space="preserve">The Client is responsible for having a lawful basis and any required consent or notice for the personal data it provides to us or asks us to process, and for its own privacy notices and cookie or tracking disclosures.</w:t>
      </w:r>
    </w:p>
    <w:p>
      <w:pPr>
        <w:spacing w:after="120" w:before="100" w:line="280"/>
        <w:ind w:left="420" w:hanging="420"/>
      </w:pPr>
      <w:r>
        <w:rPr>
          <w:b/>
          <w:bCs/>
          <w:color w:val="2C8F88"/>
          <w:sz w:val="21"/>
          <w:szCs w:val="21"/>
        </w:rPr>
        <w:t xml:space="preserve">24.4  </w:t>
      </w:r>
      <w:r>
        <w:rPr>
          <w:sz w:val="21"/>
          <w:szCs w:val="21"/>
        </w:rPr>
        <w:t xml:space="preserve">[Please advise whether a separate data processing addendum is required, particularly where we are given access to the Client’s advertising and analytics accounts, and for clients outside India.]</w:t>
      </w:r>
    </w:p>
    <w:p>
      <w:pPr>
        <w:pStyle w:val="Heading1"/>
        <w:spacing w:after="150" w:before="340"/>
      </w:pPr>
      <w:r>
        <w:rPr>
          <w:b/>
          <w:bCs/>
          <w:color w:val="1A2B4A"/>
          <w:sz w:val="26"/>
          <w:szCs w:val="26"/>
        </w:rPr>
        <w:t xml:space="preserve">25. Warranties and disclaimers</w:t>
      </w:r>
    </w:p>
    <w:p>
      <w:pPr>
        <w:spacing w:after="120" w:before="100" w:line="280"/>
        <w:ind w:left="420" w:hanging="420"/>
      </w:pPr>
      <w:r>
        <w:rPr>
          <w:b/>
          <w:bCs/>
          <w:color w:val="2C8F88"/>
          <w:sz w:val="21"/>
          <w:szCs w:val="21"/>
        </w:rPr>
        <w:t xml:space="preserve">25.1  </w:t>
      </w:r>
      <w:r>
        <w:rPr>
          <w:sz w:val="21"/>
          <w:szCs w:val="21"/>
        </w:rPr>
        <w:t xml:space="preserve">We warrant that we will perform the Services with reasonable skill and care and in accordance with the Proposal.</w:t>
      </w:r>
    </w:p>
    <w:p>
      <w:pPr>
        <w:spacing w:after="120" w:before="100" w:line="280"/>
        <w:ind w:left="420" w:hanging="420"/>
      </w:pPr>
      <w:r>
        <w:rPr>
          <w:b/>
          <w:bCs/>
          <w:color w:val="2C8F88"/>
          <w:sz w:val="21"/>
          <w:szCs w:val="21"/>
        </w:rPr>
        <w:t xml:space="preserve">25.2  </w:t>
      </w:r>
      <w:r>
        <w:rPr>
          <w:sz w:val="21"/>
          <w:szCs w:val="21"/>
        </w:rPr>
        <w:t xml:space="preserve">Except as expressly stated in this Agreement, and to the maximum extent permitted by law, all warranties, conditions and terms implied by statute, common law or otherwise, including as to merchantability, satisfactory quality and fitness for a particular purpose, are excluded.</w:t>
      </w:r>
    </w:p>
    <w:p>
      <w:pPr>
        <w:spacing w:after="120" w:before="100" w:line="280"/>
        <w:ind w:left="420" w:hanging="420"/>
      </w:pPr>
      <w:r>
        <w:rPr>
          <w:b/>
          <w:bCs/>
          <w:color w:val="2C8F88"/>
          <w:sz w:val="21"/>
          <w:szCs w:val="21"/>
        </w:rPr>
        <w:t xml:space="preserve">25.3  </w:t>
      </w:r>
      <w:r>
        <w:rPr>
          <w:sz w:val="21"/>
          <w:szCs w:val="21"/>
        </w:rPr>
        <w:t xml:space="preserve">The Client acknowledges that it has not relied on any statement, promise, representation, assurance or warranty that is not set out in the Agreement.</w:t>
      </w:r>
    </w:p>
    <w:p>
      <w:pPr>
        <w:pStyle w:val="Heading1"/>
        <w:spacing w:after="150" w:before="340"/>
      </w:pPr>
      <w:r>
        <w:rPr>
          <w:b/>
          <w:bCs/>
          <w:color w:val="1A2B4A"/>
          <w:sz w:val="26"/>
          <w:szCs w:val="26"/>
        </w:rPr>
        <w:t xml:space="preserve">26. Limitation of liability</w:t>
      </w:r>
    </w:p>
    <w:p>
      <w:pPr>
        <w:spacing w:after="120" w:before="100" w:line="280"/>
        <w:ind w:left="420" w:hanging="420"/>
      </w:pPr>
      <w:r>
        <w:rPr>
          <w:b/>
          <w:bCs/>
          <w:color w:val="2C8F88"/>
          <w:sz w:val="21"/>
          <w:szCs w:val="21"/>
        </w:rPr>
        <w:t xml:space="preserve">26.1  </w:t>
      </w:r>
      <w:r>
        <w:rPr>
          <w:sz w:val="21"/>
          <w:szCs w:val="21"/>
        </w:rPr>
        <w:t xml:space="preserve">Nothing in this Agreement limits or excludes liability for fraud or fraudulent misrepresentation, death or personal injury caused by negligence, or any other liability that cannot lawfully be limited or excluded.</w:t>
      </w:r>
    </w:p>
    <w:p>
      <w:pPr>
        <w:spacing w:after="120" w:before="100" w:line="280"/>
        <w:ind w:left="420" w:hanging="420"/>
      </w:pPr>
      <w:r>
        <w:rPr>
          <w:b/>
          <w:bCs/>
          <w:color w:val="2C8F88"/>
          <w:sz w:val="21"/>
          <w:szCs w:val="21"/>
        </w:rPr>
        <w:t xml:space="preserve">26.2  </w:t>
      </w:r>
      <w:r>
        <w:rPr>
          <w:sz w:val="21"/>
          <w:szCs w:val="21"/>
        </w:rPr>
        <w:t xml:space="preserve">Subject to clause 26.1, neither party is liable for any indirect, incidental, special, punitive or consequential loss, nor for loss of profit, revenue, business, anticipated savings, goodwill, reputation, opportunity or data, however arising, whether in contract, tort (including negligence), breach of statutory duty or otherwise, and whether or not foreseeable.</w:t>
      </w:r>
    </w:p>
    <w:p>
      <w:pPr>
        <w:spacing w:after="120" w:before="100" w:line="280"/>
        <w:ind w:left="420" w:hanging="420"/>
      </w:pPr>
      <w:r>
        <w:rPr>
          <w:b/>
          <w:bCs/>
          <w:color w:val="2C8F88"/>
          <w:sz w:val="21"/>
          <w:szCs w:val="21"/>
        </w:rPr>
        <w:t xml:space="preserve">26.3  </w:t>
      </w:r>
      <w:r>
        <w:rPr>
          <w:sz w:val="21"/>
          <w:szCs w:val="21"/>
        </w:rPr>
        <w:t xml:space="preserve">Subject to clause 26.1, our total aggregate liability arising out of or in connection with the Agreement is limited to the total Fees actually paid by the Client to us in the 3 months immediately preceding the event giving rise to the claim.</w:t>
      </w:r>
    </w:p>
    <w:p>
      <w:pPr>
        <w:spacing w:after="120" w:before="100" w:line="280"/>
        <w:ind w:left="420" w:hanging="420"/>
      </w:pPr>
      <w:r>
        <w:rPr>
          <w:b/>
          <w:bCs/>
          <w:color w:val="2C8F88"/>
          <w:sz w:val="21"/>
          <w:szCs w:val="21"/>
        </w:rPr>
        <w:t xml:space="preserve">26.4  </w:t>
      </w:r>
      <w:r>
        <w:rPr>
          <w:sz w:val="21"/>
          <w:szCs w:val="21"/>
        </w:rPr>
        <w:t xml:space="preserve">We are not liable for any loss arising from: advertising spend or its outcome; the act, omission, policy or decision of any third-party platform; the Client’s own materials, instructions, approvals, products, services or business decisions; the Client’s failure to provide materials, approvals or access; or any matter within clauses 12.2, 17 or 18.</w:t>
      </w:r>
    </w:p>
    <w:p>
      <w:pPr>
        <w:spacing w:after="120" w:before="100" w:line="280"/>
        <w:ind w:left="420" w:hanging="420"/>
      </w:pPr>
      <w:r>
        <w:rPr>
          <w:b/>
          <w:bCs/>
          <w:color w:val="2C8F88"/>
          <w:sz w:val="21"/>
          <w:szCs w:val="21"/>
        </w:rPr>
        <w:t xml:space="preserve">26.5  </w:t>
      </w:r>
      <w:r>
        <w:rPr>
          <w:sz w:val="21"/>
          <w:szCs w:val="21"/>
        </w:rPr>
        <w:t xml:space="preserve">Any claim must be brought within 12 months of the date the Client became aware, or ought reasonably to have become aware, of the circumstances giving rise to it. [Please confirm this limitation period is enforceable under the Limitation Act, 1963.]</w:t>
      </w:r>
    </w:p>
    <w:p>
      <w:pPr>
        <w:spacing w:after="120" w:before="100" w:line="280"/>
        <w:ind w:left="420" w:hanging="420"/>
      </w:pPr>
      <w:r>
        <w:rPr>
          <w:b/>
          <w:bCs/>
          <w:color w:val="2C8F88"/>
          <w:sz w:val="21"/>
          <w:szCs w:val="21"/>
        </w:rPr>
        <w:t xml:space="preserve">26.6  </w:t>
      </w:r>
      <w:r>
        <w:rPr>
          <w:sz w:val="21"/>
          <w:szCs w:val="21"/>
        </w:rPr>
        <w:t xml:space="preserve">The Fees have been set on the basis of the allocation of risk in this clause. The Client acknowledges that the limits are reasonable in that context.</w:t>
      </w:r>
    </w:p>
    <w:p>
      <w:pPr>
        <w:pStyle w:val="Heading1"/>
        <w:spacing w:after="150" w:before="340"/>
      </w:pPr>
      <w:r>
        <w:rPr>
          <w:b/>
          <w:bCs/>
          <w:color w:val="1A2B4A"/>
          <w:sz w:val="26"/>
          <w:szCs w:val="26"/>
        </w:rPr>
        <w:t xml:space="preserve">27. Indemnities</w:t>
      </w:r>
    </w:p>
    <w:p>
      <w:pPr>
        <w:spacing w:after="120" w:before="100" w:line="280"/>
        <w:ind w:left="420" w:hanging="420"/>
      </w:pPr>
      <w:r>
        <w:rPr>
          <w:b/>
          <w:bCs/>
          <w:color w:val="2C8F88"/>
          <w:sz w:val="21"/>
          <w:szCs w:val="21"/>
        </w:rPr>
        <w:t xml:space="preserve">27.1  </w:t>
      </w:r>
      <w:r>
        <w:rPr>
          <w:sz w:val="21"/>
          <w:szCs w:val="21"/>
        </w:rPr>
        <w:t xml:space="preserve">The Client will indemnify and hold us harmless against all claims, demands, proceedings, losses, damages, fines, costs and reasonable legal expenses arising out of or in connection with: the Client Materials, including any allegation that they infringe a third party’s rights; any claim that the Client’s products, services, offers, pricing or advertising claims are unlawful, misleading or non-compliant; the Client’s breach of clause 8; and any content or campaign the Client has approved for publication.</w:t>
      </w:r>
    </w:p>
    <w:p>
      <w:pPr>
        <w:spacing w:after="120" w:before="100" w:line="280"/>
        <w:ind w:left="420" w:hanging="420"/>
      </w:pPr>
      <w:r>
        <w:rPr>
          <w:b/>
          <w:bCs/>
          <w:color w:val="2C8F88"/>
          <w:sz w:val="21"/>
          <w:szCs w:val="21"/>
        </w:rPr>
        <w:t xml:space="preserve">27.2  </w:t>
      </w:r>
      <w:r>
        <w:rPr>
          <w:sz w:val="21"/>
          <w:szCs w:val="21"/>
        </w:rPr>
        <w:t xml:space="preserve">We will indemnify the Client against claims that a Deliverable created by us, used as contemplated by the Agreement, infringes a third party’s intellectual property rights, provided the claim does not arise from Client Materials, from the Client’s modification of the Deliverable, or from its use outside the Agreement. Our liability under this clause is subject to clause 26.</w:t>
      </w:r>
    </w:p>
    <w:p>
      <w:pPr>
        <w:spacing w:after="120" w:before="100" w:line="280"/>
        <w:ind w:left="420" w:hanging="420"/>
      </w:pPr>
      <w:r>
        <w:rPr>
          <w:b/>
          <w:bCs/>
          <w:color w:val="2C8F88"/>
          <w:sz w:val="21"/>
          <w:szCs w:val="21"/>
        </w:rPr>
        <w:t xml:space="preserve">27.3  </w:t>
      </w:r>
      <w:r>
        <w:rPr>
          <w:sz w:val="21"/>
          <w:szCs w:val="21"/>
        </w:rPr>
        <w:t xml:space="preserve">The party seeking indemnity will notify the other promptly, not admit liability, and allow the indemnifying party to conduct the defence with the other’s reasonable cooperation.</w:t>
      </w:r>
    </w:p>
    <w:p>
      <w:pPr>
        <w:pStyle w:val="Heading1"/>
        <w:spacing w:after="150" w:before="340"/>
      </w:pPr>
      <w:r>
        <w:rPr>
          <w:b/>
          <w:bCs/>
          <w:color w:val="1A2B4A"/>
          <w:sz w:val="26"/>
          <w:szCs w:val="26"/>
        </w:rPr>
        <w:t xml:space="preserve">28. Force majeure</w:t>
      </w:r>
    </w:p>
    <w:p>
      <w:pPr>
        <w:spacing w:after="120" w:before="100" w:line="280"/>
        <w:ind w:left="420" w:hanging="420"/>
      </w:pPr>
      <w:r>
        <w:rPr>
          <w:b/>
          <w:bCs/>
          <w:color w:val="2C8F88"/>
          <w:sz w:val="21"/>
          <w:szCs w:val="21"/>
        </w:rPr>
        <w:t xml:space="preserve">28.1  </w:t>
      </w:r>
      <w:r>
        <w:rPr>
          <w:sz w:val="21"/>
          <w:szCs w:val="21"/>
        </w:rPr>
        <w:t xml:space="preserve">Neither party is liable for any failure or delay in performance caused by an event beyond its reasonable control, including act of God, natural disaster, epidemic, war, civil unrest, act of government, strike, failure of utilities, internet or telecommunications, or the failure or withdrawal of a third-party platform.</w:t>
      </w:r>
    </w:p>
    <w:p>
      <w:pPr>
        <w:spacing w:after="120" w:before="100" w:line="280"/>
        <w:ind w:left="420" w:hanging="420"/>
      </w:pPr>
      <w:r>
        <w:rPr>
          <w:b/>
          <w:bCs/>
          <w:color w:val="2C8F88"/>
          <w:sz w:val="21"/>
          <w:szCs w:val="21"/>
        </w:rPr>
        <w:t xml:space="preserve">28.2  </w:t>
      </w:r>
      <w:r>
        <w:rPr>
          <w:sz w:val="21"/>
          <w:szCs w:val="21"/>
        </w:rPr>
        <w:t xml:space="preserve">The affected party will notify the other and use reasonable efforts to resume. If the event continues for more than 60 days, either party may terminate on written notice and clause 16.5 applies.</w:t>
      </w:r>
    </w:p>
    <w:p>
      <w:pPr>
        <w:pStyle w:val="Heading1"/>
        <w:spacing w:after="150" w:before="340"/>
      </w:pPr>
      <w:r>
        <w:rPr>
          <w:b/>
          <w:bCs/>
          <w:color w:val="1A2B4A"/>
          <w:sz w:val="26"/>
          <w:szCs w:val="26"/>
        </w:rPr>
        <w:t xml:space="preserve">29. Notices</w:t>
      </w:r>
    </w:p>
    <w:p>
      <w:pPr>
        <w:spacing w:after="120" w:before="100" w:line="280"/>
        <w:ind w:left="420" w:hanging="420"/>
      </w:pPr>
      <w:r>
        <w:rPr>
          <w:b/>
          <w:bCs/>
          <w:color w:val="2C8F88"/>
          <w:sz w:val="21"/>
          <w:szCs w:val="21"/>
        </w:rPr>
        <w:t xml:space="preserve">29.1  </w:t>
      </w:r>
      <w:r>
        <w:rPr>
          <w:sz w:val="21"/>
          <w:szCs w:val="21"/>
        </w:rPr>
        <w:t xml:space="preserve">Notices under this Agreement must be in writing and sent to the email address stated in the Proposal, or to business@clicknlikes.com in our case, and are deemed received on the next working day after sending unless a delivery failure is received.</w:t>
      </w:r>
    </w:p>
    <w:p>
      <w:pPr>
        <w:spacing w:after="120" w:before="100" w:line="280"/>
        <w:ind w:left="420" w:hanging="420"/>
      </w:pPr>
      <w:r>
        <w:rPr>
          <w:b/>
          <w:bCs/>
          <w:color w:val="2C8F88"/>
          <w:sz w:val="21"/>
          <w:szCs w:val="21"/>
        </w:rPr>
        <w:t xml:space="preserve">29.2  </w:t>
      </w:r>
      <w:r>
        <w:rPr>
          <w:sz w:val="21"/>
          <w:szCs w:val="21"/>
        </w:rPr>
        <w:t xml:space="preserve">Routine operational communication may take place through any channel the parties habitually use, but notices of breach, suspension, cancellation or termination must be given by email as above.</w:t>
      </w:r>
    </w:p>
    <w:p>
      <w:pPr>
        <w:pStyle w:val="Heading1"/>
        <w:spacing w:after="150" w:before="340"/>
      </w:pPr>
      <w:r>
        <w:rPr>
          <w:b/>
          <w:bCs/>
          <w:color w:val="1A2B4A"/>
          <w:sz w:val="26"/>
          <w:szCs w:val="26"/>
        </w:rPr>
        <w:t xml:space="preserve">30. Assignment</w:t>
      </w:r>
    </w:p>
    <w:p>
      <w:pPr>
        <w:spacing w:after="120" w:before="100" w:line="280"/>
        <w:ind w:left="420" w:hanging="420"/>
      </w:pPr>
      <w:r>
        <w:rPr>
          <w:b/>
          <w:bCs/>
          <w:color w:val="2C8F88"/>
          <w:sz w:val="21"/>
          <w:szCs w:val="21"/>
        </w:rPr>
        <w:t xml:space="preserve">30.1  </w:t>
      </w:r>
      <w:r>
        <w:rPr>
          <w:sz w:val="21"/>
          <w:szCs w:val="21"/>
        </w:rPr>
        <w:t xml:space="preserve">The Client may not assign, novate or transfer the Agreement or any right under it without our prior written consent, which will not be unreasonably withheld.</w:t>
      </w:r>
    </w:p>
    <w:p>
      <w:pPr>
        <w:spacing w:after="120" w:before="100" w:line="280"/>
        <w:ind w:left="420" w:hanging="420"/>
      </w:pPr>
      <w:r>
        <w:rPr>
          <w:b/>
          <w:bCs/>
          <w:color w:val="2C8F88"/>
          <w:sz w:val="21"/>
          <w:szCs w:val="21"/>
        </w:rPr>
        <w:t xml:space="preserve">30.2  </w:t>
      </w:r>
      <w:r>
        <w:rPr>
          <w:sz w:val="21"/>
          <w:szCs w:val="21"/>
        </w:rPr>
        <w:t xml:space="preserve">We may assign or novate the Agreement to a successor of our business or to a company we form to carry on the business, on written notice.</w:t>
      </w:r>
    </w:p>
    <w:p>
      <w:pPr>
        <w:pStyle w:val="Heading1"/>
        <w:spacing w:after="150" w:before="340"/>
      </w:pPr>
      <w:r>
        <w:rPr>
          <w:b/>
          <w:bCs/>
          <w:color w:val="1A2B4A"/>
          <w:sz w:val="26"/>
          <w:szCs w:val="26"/>
        </w:rPr>
        <w:t xml:space="preserve">31. Survival</w:t>
      </w:r>
    </w:p>
    <w:p>
      <w:pPr>
        <w:spacing w:after="120" w:before="100" w:line="280"/>
        <w:ind w:left="420" w:hanging="420"/>
      </w:pPr>
      <w:r>
        <w:rPr>
          <w:b/>
          <w:bCs/>
          <w:color w:val="2C8F88"/>
          <w:sz w:val="21"/>
          <w:szCs w:val="21"/>
        </w:rPr>
        <w:t xml:space="preserve">31.1  </w:t>
      </w:r>
      <w:r>
        <w:rPr>
          <w:sz w:val="21"/>
          <w:szCs w:val="21"/>
        </w:rPr>
        <w:t xml:space="preserve">The following survive the end of the Agreement, however it ends: clauses 5 (in respect of amounts accrued), 9, 12.2 and 12.3, 16, 18, 20.2, 21, 22, 23, 24, 25, 26, 27, 29, 32 and 33, together with any other provision which by its nature is intended to survive.</w:t>
      </w:r>
    </w:p>
    <w:p>
      <w:pPr>
        <w:pStyle w:val="Heading1"/>
        <w:spacing w:after="150" w:before="340"/>
      </w:pPr>
      <w:r>
        <w:rPr>
          <w:b/>
          <w:bCs/>
          <w:color w:val="1A2B4A"/>
          <w:sz w:val="26"/>
          <w:szCs w:val="26"/>
        </w:rPr>
        <w:t xml:space="preserve">32. General</w:t>
      </w:r>
    </w:p>
    <w:p>
      <w:pPr>
        <w:spacing w:after="120" w:before="100" w:line="280"/>
        <w:ind w:left="420" w:hanging="420"/>
      </w:pPr>
      <w:r>
        <w:rPr>
          <w:b/>
          <w:bCs/>
          <w:color w:val="2C8F88"/>
          <w:sz w:val="21"/>
          <w:szCs w:val="21"/>
        </w:rPr>
        <w:t xml:space="preserve">32.1  </w:t>
      </w:r>
      <w:r>
        <w:rPr>
          <w:sz w:val="21"/>
          <w:szCs w:val="21"/>
        </w:rPr>
        <w:t xml:space="preserve">Entire agreement. The Agreement is the entire agreement between the parties on its subject matter and supersedes all prior discussions, proposals and representations, save that nothing excludes liability for fraudulent misrepresentation.</w:t>
      </w:r>
    </w:p>
    <w:p>
      <w:pPr>
        <w:spacing w:after="120" w:before="100" w:line="280"/>
        <w:ind w:left="420" w:hanging="420"/>
      </w:pPr>
      <w:r>
        <w:rPr>
          <w:b/>
          <w:bCs/>
          <w:color w:val="2C8F88"/>
          <w:sz w:val="21"/>
          <w:szCs w:val="21"/>
        </w:rPr>
        <w:t xml:space="preserve">32.2  </w:t>
      </w:r>
      <w:r>
        <w:rPr>
          <w:sz w:val="21"/>
          <w:szCs w:val="21"/>
        </w:rPr>
        <w:t xml:space="preserve">Variation. Any variation must be in writing and agreed by both parties. We may update this Agreement for new engagements at any time; the version in force when the Proposal is accepted governs that engagement.</w:t>
      </w:r>
    </w:p>
    <w:p>
      <w:pPr>
        <w:spacing w:after="120" w:before="100" w:line="280"/>
        <w:ind w:left="420" w:hanging="420"/>
      </w:pPr>
      <w:r>
        <w:rPr>
          <w:b/>
          <w:bCs/>
          <w:color w:val="2C8F88"/>
          <w:sz w:val="21"/>
          <w:szCs w:val="21"/>
        </w:rPr>
        <w:t xml:space="preserve">32.3  </w:t>
      </w:r>
      <w:r>
        <w:rPr>
          <w:sz w:val="21"/>
          <w:szCs w:val="21"/>
        </w:rPr>
        <w:t xml:space="preserve">Severability. If any provision is held invalid or unenforceable, it is to be modified to the minimum extent necessary to make it enforceable, or if that is not possible severed, and the remainder continues in force.</w:t>
      </w:r>
    </w:p>
    <w:p>
      <w:pPr>
        <w:spacing w:after="120" w:before="100" w:line="280"/>
        <w:ind w:left="420" w:hanging="420"/>
      </w:pPr>
      <w:r>
        <w:rPr>
          <w:b/>
          <w:bCs/>
          <w:color w:val="2C8F88"/>
          <w:sz w:val="21"/>
          <w:szCs w:val="21"/>
        </w:rPr>
        <w:t xml:space="preserve">32.4  </w:t>
      </w:r>
      <w:r>
        <w:rPr>
          <w:sz w:val="21"/>
          <w:szCs w:val="21"/>
        </w:rPr>
        <w:t xml:space="preserve">Waiver. A failure or delay in exercising a right is not a waiver of it, and a single or partial exercise does not prevent further exercise.</w:t>
      </w:r>
    </w:p>
    <w:p>
      <w:pPr>
        <w:spacing w:after="120" w:before="100" w:line="280"/>
        <w:ind w:left="420" w:hanging="420"/>
      </w:pPr>
      <w:r>
        <w:rPr>
          <w:b/>
          <w:bCs/>
          <w:color w:val="2C8F88"/>
          <w:sz w:val="21"/>
          <w:szCs w:val="21"/>
        </w:rPr>
        <w:t xml:space="preserve">32.5  </w:t>
      </w:r>
      <w:r>
        <w:rPr>
          <w:sz w:val="21"/>
          <w:szCs w:val="21"/>
        </w:rPr>
        <w:t xml:space="preserve">No third-party rights. A person who is not a party to the Agreement has no right to enforce any of its terms.</w:t>
      </w:r>
    </w:p>
    <w:p>
      <w:pPr>
        <w:spacing w:after="120" w:before="100" w:line="280"/>
        <w:ind w:left="420" w:hanging="420"/>
      </w:pPr>
      <w:r>
        <w:rPr>
          <w:b/>
          <w:bCs/>
          <w:color w:val="2C8F88"/>
          <w:sz w:val="21"/>
          <w:szCs w:val="21"/>
        </w:rPr>
        <w:t xml:space="preserve">32.6  </w:t>
      </w:r>
      <w:r>
        <w:rPr>
          <w:sz w:val="21"/>
          <w:szCs w:val="21"/>
        </w:rPr>
        <w:t xml:space="preserve">Counterparts and electronic execution. The Agreement may be executed in counterparts and accepted electronically, each of which is an original and together constitute one agreement.</w:t>
      </w:r>
    </w:p>
    <w:p>
      <w:pPr>
        <w:pStyle w:val="Heading1"/>
        <w:spacing w:after="150" w:before="340"/>
      </w:pPr>
      <w:r>
        <w:rPr>
          <w:b/>
          <w:bCs/>
          <w:color w:val="1A2B4A"/>
          <w:sz w:val="26"/>
          <w:szCs w:val="26"/>
        </w:rPr>
        <w:t xml:space="preserve">33. Governing law, jurisdiction and disputes</w:t>
      </w:r>
    </w:p>
    <w:p>
      <w:pPr>
        <w:spacing w:after="120" w:before="100" w:line="280"/>
        <w:ind w:left="420" w:hanging="420"/>
      </w:pPr>
      <w:r>
        <w:rPr>
          <w:b/>
          <w:bCs/>
          <w:color w:val="2C8F88"/>
          <w:sz w:val="21"/>
          <w:szCs w:val="21"/>
        </w:rPr>
        <w:t xml:space="preserve">33.1  </w:t>
      </w:r>
      <w:r>
        <w:rPr>
          <w:sz w:val="21"/>
          <w:szCs w:val="21"/>
        </w:rPr>
        <w:t xml:space="preserve">The Agreement and any dispute arising out of or in connection with it, including non-contractual disputes, are governed by the laws of India.</w:t>
      </w:r>
    </w:p>
    <w:p>
      <w:pPr>
        <w:spacing w:after="120" w:before="100" w:line="280"/>
        <w:ind w:left="420" w:hanging="420"/>
      </w:pPr>
      <w:r>
        <w:rPr>
          <w:b/>
          <w:bCs/>
          <w:color w:val="2C8F88"/>
          <w:sz w:val="21"/>
          <w:szCs w:val="21"/>
        </w:rPr>
        <w:t xml:space="preserve">33.2  </w:t>
      </w:r>
      <w:r>
        <w:rPr>
          <w:sz w:val="21"/>
          <w:szCs w:val="21"/>
        </w:rPr>
        <w:t xml:space="preserve">The parties will first attempt in good faith to resolve any dispute by discussion between senior representatives within 30 days of written notice of the dispute.</w:t>
      </w:r>
    </w:p>
    <w:p>
      <w:pPr>
        <w:spacing w:after="120" w:before="100" w:line="280"/>
        <w:ind w:left="420" w:hanging="420"/>
      </w:pPr>
      <w:r>
        <w:rPr>
          <w:b/>
          <w:bCs/>
          <w:color w:val="2C8F88"/>
          <w:sz w:val="21"/>
          <w:szCs w:val="21"/>
        </w:rPr>
        <w:t xml:space="preserve">33.3  </w:t>
      </w:r>
      <w:r>
        <w:rPr>
          <w:sz w:val="21"/>
          <w:szCs w:val="21"/>
        </w:rPr>
        <w:t xml:space="preserve">If not resolved, the dispute is subject to the jurisdiction of the competent courts of India. [Please advise whether a single named seat should be specified for certainty of enforcement, and whether arbitration seated in India under the Arbitration and Conciliation Act, 1996 would be preferable, particularly for clients contracting from outside India.]</w:t>
      </w:r>
    </w:p>
    <w:p>
      <w:r>
        <w:br w:type="page"/>
      </w:r>
    </w:p>
    <w:p>
      <w:pPr>
        <w:pStyle w:val="Heading1"/>
        <w:spacing w:after="150" w:before="340"/>
      </w:pPr>
      <w:r>
        <w:rPr>
          <w:b/>
          <w:bCs/>
          <w:color w:val="1A2B4A"/>
          <w:sz w:val="26"/>
          <w:szCs w:val="26"/>
        </w:rPr>
        <w:t xml:space="preserve">Acceptance</w:t>
      </w:r>
    </w:p>
    <w:p>
      <w:pPr>
        <w:spacing w:after="140" w:line="280"/>
      </w:pPr>
      <w:r>
        <w:rPr>
          <w:b w:val="false"/>
          <w:bCs w:val="false"/>
          <w:i w:val="false"/>
          <w:iCs w:val="false"/>
          <w:color w:val="222222"/>
          <w:sz w:val="21"/>
          <w:szCs w:val="21"/>
        </w:rPr>
        <w:t xml:space="preserve">This Agreement is accepted by the Client on signing or electronically accepting the Proposal, by making payment against it, or by instructing us to begin work.</w:t>
      </w:r>
    </w:p>
    <w:p>
      <w:pPr>
        <w:spacing w:after="140" w:line="280"/>
      </w:pPr>
      <w:r>
        <w:rPr>
          <w:b w:val="false"/>
          <w:bCs w:val="false"/>
          <w:i w:val="false"/>
          <w:iCs w:val="false"/>
          <w:color w:val="222222"/>
          <w:sz w:val="21"/>
          <w:szCs w:val="21"/>
        </w:rPr>
        <w:t xml:space="preserve"> </w:t>
      </w:r>
    </w:p>
    <w:p>
      <w:pPr>
        <w:spacing w:after="140" w:line="280"/>
      </w:pPr>
      <w:r>
        <w:rPr>
          <w:b/>
          <w:bCs/>
          <w:i w:val="false"/>
          <w:iCs w:val="false"/>
          <w:color w:val="222222"/>
          <w:sz w:val="21"/>
          <w:szCs w:val="21"/>
        </w:rPr>
        <w:t xml:space="preserve">For and on behalf of the Client                                                             For and on behalf of Click.n.likes</w:t>
      </w:r>
    </w:p>
    <w:p>
      <w:pPr>
        <w:spacing w:after="140" w:line="280"/>
      </w:pPr>
      <w:r>
        <w:rPr>
          <w:b w:val="false"/>
          <w:bCs w:val="false"/>
          <w:i w:val="false"/>
          <w:iCs w:val="false"/>
          <w:color w:val="222222"/>
          <w:sz w:val="21"/>
          <w:szCs w:val="21"/>
        </w:rPr>
        <w:t xml:space="preserve"> </w:t>
      </w:r>
    </w:p>
    <w:p>
      <w:pPr>
        <w:spacing w:after="140" w:line="280"/>
      </w:pPr>
      <w:r>
        <w:rPr>
          <w:b w:val="false"/>
          <w:bCs w:val="false"/>
          <w:i w:val="false"/>
          <w:iCs w:val="false"/>
          <w:color w:val="222222"/>
          <w:sz w:val="21"/>
          <w:szCs w:val="21"/>
        </w:rPr>
        <w:t xml:space="preserve">Name:  ______________________________                              Name:  ______________________________</w:t>
      </w:r>
    </w:p>
    <w:p>
      <w:pPr>
        <w:spacing w:after="140" w:line="280"/>
      </w:pPr>
      <w:r>
        <w:rPr>
          <w:b w:val="false"/>
          <w:bCs w:val="false"/>
          <w:i w:val="false"/>
          <w:iCs w:val="false"/>
          <w:color w:val="222222"/>
          <w:sz w:val="21"/>
          <w:szCs w:val="21"/>
        </w:rPr>
        <w:t xml:space="preserve">Title:  _______________________________                              Title:  _______________________________</w:t>
      </w:r>
    </w:p>
    <w:p>
      <w:pPr>
        <w:spacing w:after="140" w:line="280"/>
      </w:pPr>
      <w:r>
        <w:rPr>
          <w:b w:val="false"/>
          <w:bCs w:val="false"/>
          <w:i w:val="false"/>
          <w:iCs w:val="false"/>
          <w:color w:val="222222"/>
          <w:sz w:val="21"/>
          <w:szCs w:val="21"/>
        </w:rPr>
        <w:t xml:space="preserve">Date:  _______________________________                              Date:  _______________________________</w:t>
      </w:r>
    </w:p>
    <w:p>
      <w:r>
        <w:br w:type="page"/>
      </w:r>
    </w:p>
    <w:p>
      <w:pPr>
        <w:pStyle w:val="Heading1"/>
        <w:spacing w:after="150" w:before="340"/>
      </w:pPr>
      <w:r>
        <w:rPr>
          <w:b/>
          <w:bCs/>
          <w:color w:val="1A2B4A"/>
          <w:sz w:val="26"/>
          <w:szCs w:val="26"/>
        </w:rPr>
        <w:t xml:space="preserve">Questions for counsel</w:t>
      </w:r>
    </w:p>
    <w:p>
      <w:pPr>
        <w:spacing w:after="140" w:line="280"/>
      </w:pPr>
      <w:r>
        <w:rPr>
          <w:b w:val="false"/>
          <w:bCs w:val="false"/>
          <w:i w:val="false"/>
          <w:iCs w:val="false"/>
          <w:color w:val="222222"/>
          <w:sz w:val="21"/>
          <w:szCs w:val="21"/>
        </w:rPr>
        <w:t xml:space="preserve">The bracketed notes in the body flag specific points. In summary, the areas where we would most value your view:</w:t>
      </w:r>
    </w:p>
    <w:p>
      <w:pPr>
        <w:pStyle w:val="ListParagraph"/>
        <w:numPr>
          <w:ilvl w:val="0"/>
          <w:numId w:val="2"/>
        </w:numPr>
        <w:spacing w:after="110" w:line="280"/>
      </w:pPr>
      <w:r>
        <w:rPr>
          <w:sz w:val="21"/>
          <w:szCs w:val="21"/>
        </w:rPr>
        <w:t xml:space="preserve">Clause 16.3: does retaining the billing month in progress where the Client is in default reflect genuine committed cost rather than a penalty under section 74 of the Indian Contract Act, 1872?</w:t>
      </w:r>
    </w:p>
    <w:p>
      <w:pPr>
        <w:pStyle w:val="ListParagraph"/>
        <w:numPr>
          <w:ilvl w:val="0"/>
          <w:numId w:val="2"/>
        </w:numPr>
        <w:spacing w:after="110" w:line="280"/>
      </w:pPr>
      <w:r>
        <w:rPr>
          <w:sz w:val="21"/>
          <w:szCs w:val="21"/>
        </w:rPr>
        <w:t xml:space="preserve">Clause 11: is treating a non-cooperating engagement as inactive, with Fees remaining payable, reasonable and enforceable, and what notice should we give?</w:t>
      </w:r>
    </w:p>
    <w:p>
      <w:pPr>
        <w:pStyle w:val="ListParagraph"/>
        <w:numPr>
          <w:ilvl w:val="0"/>
          <w:numId w:val="2"/>
        </w:numPr>
        <w:spacing w:after="110" w:line="280"/>
      </w:pPr>
      <w:r>
        <w:rPr>
          <w:sz w:val="21"/>
          <w:szCs w:val="21"/>
        </w:rPr>
        <w:t xml:space="preserve">Clause 20.2: is the 12-month non-solicitation reasonable in scope and duration, and enforceable given section 27 of the Indian Contract Act?</w:t>
      </w:r>
    </w:p>
    <w:p>
      <w:pPr>
        <w:pStyle w:val="ListParagraph"/>
        <w:numPr>
          <w:ilvl w:val="0"/>
          <w:numId w:val="2"/>
        </w:numPr>
        <w:spacing w:after="110" w:line="280"/>
      </w:pPr>
      <w:r>
        <w:rPr>
          <w:sz w:val="21"/>
          <w:szCs w:val="21"/>
        </w:rPr>
        <w:t xml:space="preserve">Clause 26: is the liability cap of 3 months of Fees appropriate, are the carve-outs complete, and is the 12-month claim window enforceable under the Limitation Act, 1963?</w:t>
      </w:r>
    </w:p>
    <w:p>
      <w:pPr>
        <w:pStyle w:val="ListParagraph"/>
        <w:numPr>
          <w:ilvl w:val="0"/>
          <w:numId w:val="2"/>
        </w:numPr>
        <w:spacing w:after="110" w:line="280"/>
      </w:pPr>
      <w:r>
        <w:rPr>
          <w:sz w:val="21"/>
          <w:szCs w:val="21"/>
        </w:rPr>
        <w:t xml:space="preserve">Clause 27: are the indemnities balanced enough to be enforceable, and should our indemnity be capped separately?</w:t>
      </w:r>
    </w:p>
    <w:p>
      <w:pPr>
        <w:pStyle w:val="ListParagraph"/>
        <w:numPr>
          <w:ilvl w:val="0"/>
          <w:numId w:val="2"/>
        </w:numPr>
        <w:spacing w:after="110" w:line="280"/>
      </w:pPr>
      <w:r>
        <w:rPr>
          <w:sz w:val="21"/>
          <w:szCs w:val="21"/>
        </w:rPr>
        <w:t xml:space="preserve">Clause 6 and 5.6: GST registration threshold, whether overseas Fees count toward it, export-of-services treatment, LUT, and TDS mechanics.</w:t>
      </w:r>
    </w:p>
    <w:p>
      <w:pPr>
        <w:pStyle w:val="ListParagraph"/>
        <w:numPr>
          <w:ilvl w:val="0"/>
          <w:numId w:val="2"/>
        </w:numPr>
        <w:spacing w:after="110" w:line="280"/>
      </w:pPr>
      <w:r>
        <w:rPr>
          <w:sz w:val="21"/>
          <w:szCs w:val="21"/>
        </w:rPr>
        <w:t xml:space="preserve">Clause 19: is our disclosure of artificial-intelligence assisted delivery sufficient, and is any consent or further notice required?</w:t>
      </w:r>
    </w:p>
    <w:p>
      <w:pPr>
        <w:pStyle w:val="ListParagraph"/>
        <w:numPr>
          <w:ilvl w:val="0"/>
          <w:numId w:val="2"/>
        </w:numPr>
        <w:spacing w:after="110" w:line="280"/>
      </w:pPr>
      <w:r>
        <w:rPr>
          <w:sz w:val="21"/>
          <w:szCs w:val="21"/>
        </w:rPr>
        <w:t xml:space="preserve">Clause 24: is a separate data processing addendum required under the DPDP Act, 2023, particularly for access to client advertising and analytics accounts and for clients outside India?</w:t>
      </w:r>
    </w:p>
    <w:p>
      <w:pPr>
        <w:pStyle w:val="ListParagraph"/>
        <w:numPr>
          <w:ilvl w:val="0"/>
          <w:numId w:val="2"/>
        </w:numPr>
        <w:spacing w:after="110" w:line="280"/>
      </w:pPr>
      <w:r>
        <w:rPr>
          <w:sz w:val="21"/>
          <w:szCs w:val="21"/>
        </w:rPr>
        <w:t xml:space="preserve">Clause 33.3: single named seat versus competent courts of India, and whether arbitration would be preferable for international clients.</w:t>
      </w:r>
    </w:p>
    <w:p>
      <w:pPr>
        <w:pStyle w:val="ListParagraph"/>
        <w:numPr>
          <w:ilvl w:val="0"/>
          <w:numId w:val="2"/>
        </w:numPr>
        <w:spacing w:after="110" w:line="280"/>
      </w:pPr>
      <w:r>
        <w:rPr>
          <w:sz w:val="21"/>
          <w:szCs w:val="21"/>
        </w:rPr>
        <w:t xml:space="preserve">Consumer protection: are there implications where the Client is a sole proprietor or micro-business rather than a company, and does anything here risk being an unfair contract term?</w:t>
      </w:r>
    </w:p>
    <w:p>
      <w:pPr>
        <w:pStyle w:val="ListParagraph"/>
        <w:numPr>
          <w:ilvl w:val="0"/>
          <w:numId w:val="2"/>
        </w:numPr>
        <w:spacing w:after="110" w:line="280"/>
      </w:pPr>
      <w:r>
        <w:rPr>
          <w:sz w:val="21"/>
          <w:szCs w:val="21"/>
        </w:rPr>
        <w:t xml:space="preserve">Is anything in this Agreement over-reaching to the point that a court would strike it down, and would you soften it to make it more likely to hold?</w:t>
      </w:r>
    </w:p>
    <w:sectPr>
      <w:pgSz w:w="11906" w:h="16838" w:orient="portrait"/>
      <w:pgMar w:top="1180" w:right="1080" w:bottom="11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pPr>
    <w:rPr>
      <w:rFonts w:ascii="Calibri" w:cs="Calibri" w:eastAsia="Calibri" w:hAnsi="Calibri"/>
      <w:b/>
      <w:bCs/>
      <w:color w:val="1A2B4A"/>
      <w:sz w:val="26"/>
      <w:szCs w:val="26"/>
    </w:rPr>
  </w:style>
  <w:style w:type="paragraph" w:styleId="Heading2">
    <w:name w:val="Heading 2"/>
    <w:basedOn w:val="Normal"/>
    <w:next w:val="Normal"/>
    <w:qFormat/>
    <w:pPr>
      <w:spacing w:after="110" w:before="240"/>
    </w:pPr>
    <w:rPr>
      <w:rFonts w:ascii="Calibri" w:cs="Calibri" w:eastAsia="Calibri" w:hAnsi="Calibri"/>
      <w:b/>
      <w:bCs/>
      <w:color w:val="2C8F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Click.n.likes — Master Services Agreement (draft for legal review)</dc:title>
  <dc:creator>Click.n.likes</dc:creator>
  <dc:description>Draft prepared for legal review.</dc:description>
  <cp:lastModifiedBy>Un-named</cp:lastModifiedBy>
  <cp:revision>1</cp:revision>
  <dcterms:created xsi:type="dcterms:W3CDTF">2026-07-27T10:28:34.781Z</dcterms:created>
  <dcterms:modified xsi:type="dcterms:W3CDTF">2026-07-27T10:28:34.783Z</dcterms:modified>
</cp:coreProperties>
</file>

<file path=docProps/custom.xml><?xml version="1.0" encoding="utf-8"?>
<Properties xmlns="http://schemas.openxmlformats.org/officeDocument/2006/custom-properties" xmlns:vt="http://schemas.openxmlformats.org/officeDocument/2006/docPropsVTypes"/>
</file>