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1" w:rsidRPr="007B1CA1" w:rsidRDefault="007B1CA1" w:rsidP="007B1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7B1CA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/>
      </w:r>
    </w:p>
    <w:p w:rsidR="007B1CA1" w:rsidRPr="007B1CA1" w:rsidRDefault="007B1CA1" w:rsidP="007B1C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 w:bidi="hi-IN"/>
        </w:rPr>
      </w:pPr>
      <w:r w:rsidRPr="007B1CA1">
        <w:rPr>
          <w:rFonts w:ascii="Arial" w:eastAsia="Times New Roman" w:hAnsi="Arial" w:cs="Mangal"/>
          <w:vanish/>
          <w:sz w:val="16"/>
          <w:szCs w:val="14"/>
          <w:lang w:eastAsia="en-IN" w:bidi="hi-IN"/>
        </w:rPr>
        <w:t>Top of Form</w:t>
      </w:r>
    </w:p>
    <w:p w:rsidR="007B1CA1" w:rsidRPr="007B1CA1" w:rsidRDefault="007B1CA1" w:rsidP="007B1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pict/>
      </w: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8pt" o:ole="">
            <v:imagedata r:id="rId4" o:title=""/>
          </v:shape>
          <w:control r:id="rId5" w:name="DefaultOcxName" w:shapeid="_x0000_i1046"/>
        </w:object>
      </w: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object w:dxaOrig="225" w:dyaOrig="225">
          <v:shape id="_x0000_i1045" type="#_x0000_t75" style="width:1in;height:18pt" o:ole="">
            <v:imagedata r:id="rId6" o:title=""/>
          </v:shape>
          <w:control r:id="rId7" w:name="DefaultOcxName1" w:shapeid="_x0000_i1045"/>
        </w:object>
      </w:r>
    </w:p>
    <w:tbl>
      <w:tblPr>
        <w:tblW w:w="4975" w:type="pct"/>
        <w:tblCellSpacing w:w="15" w:type="dxa"/>
        <w:tblInd w:w="30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1"/>
        <w:gridCol w:w="1127"/>
        <w:gridCol w:w="479"/>
        <w:gridCol w:w="494"/>
      </w:tblGrid>
      <w:tr w:rsidR="007B1CA1" w:rsidRPr="007B1CA1" w:rsidTr="007B1CA1">
        <w:trPr>
          <w:tblCellSpacing w:w="15" w:type="dxa"/>
        </w:trPr>
        <w:tc>
          <w:tcPr>
            <w:tcW w:w="4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n-IN" w:bidi="hi-IN"/>
              </w:rPr>
              <w:t>Transactions Inquiry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hyperlink r:id="rId8" w:tgtFrame="_blank" w:history="1">
              <w:r w:rsidRPr="007B1CA1">
                <w:rPr>
                  <w:rFonts w:ascii="Verdana" w:eastAsia="Times New Roman" w:hAnsi="Verdana" w:cs="Times New Roman"/>
                  <w:noProof/>
                  <w:sz w:val="17"/>
                  <w:szCs w:val="17"/>
                  <w:lang w:eastAsia="en-IN" w:bidi="hi-IN"/>
                </w:rPr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19075" cy="209550"/>
                    <wp:effectExtent l="0" t="0" r="9525" b="0"/>
                    <wp:wrapSquare wrapText="bothSides"/>
                    <wp:docPr id="3" name="Picture 3" descr="http://172.1.2.92:8088/fincrv/Renderer/images/help.gif">
                      <a:hlinkClick xmlns:a="http://schemas.openxmlformats.org/drawingml/2006/main" r:id="rId8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://172.1.2.92:8088/fincrv/Renderer/images/help.gif">
                              <a:hlinkClick r:id="rId8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90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hyperlink r:id="rId10" w:history="1">
              <w:r w:rsidRPr="007B1CA1">
                <w:rPr>
                  <w:rFonts w:ascii="Verdana" w:eastAsia="Times New Roman" w:hAnsi="Verdana" w:cs="Times New Roman"/>
                  <w:noProof/>
                  <w:sz w:val="17"/>
                  <w:szCs w:val="17"/>
                  <w:lang w:eastAsia="en-IN" w:bidi="hi-IN"/>
                </w:rPr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38125" cy="238125"/>
                    <wp:effectExtent l="0" t="0" r="9525" b="9525"/>
                    <wp:wrapSquare wrapText="bothSides"/>
                    <wp:docPr id="2" name="Picture 2" descr="http://172.1.2.92:8088/fincrv/Renderer/images/backarrow.gif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://172.1.2.92:8088/fincrv/Renderer/images/backarrow.gif">
                              <a:hlinkClick r:id="rId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       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noProof/>
                <w:sz w:val="17"/>
                <w:szCs w:val="17"/>
                <w:lang w:eastAsia="en-IN" w:bidi="hi-IN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80975" cy="180975"/>
                  <wp:effectExtent l="0" t="0" r="9525" b="9525"/>
                  <wp:wrapSquare wrapText="bothSides"/>
                  <wp:docPr id="1" name="Picture 1" descr="http://172.1.2.92:8088/fincrv/Renderer/images/pri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72.1.2.92:8088/fincrv/Renderer/images/pri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       </w:t>
            </w:r>
          </w:p>
        </w:tc>
      </w:tr>
    </w:tbl>
    <w:p w:rsidR="007B1CA1" w:rsidRPr="007B1CA1" w:rsidRDefault="007B1CA1" w:rsidP="007B1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pict>
          <v:rect id="_x0000_i1027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30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025"/>
        <w:gridCol w:w="1709"/>
        <w:gridCol w:w="2148"/>
        <w:gridCol w:w="180"/>
        <w:gridCol w:w="195"/>
      </w:tblGrid>
      <w:tr w:rsidR="007B1CA1" w:rsidRPr="007B1CA1" w:rsidTr="007B1CA1">
        <w:trPr>
          <w:gridAfter w:val="2"/>
          <w:wAfter w:w="2747" w:type="dxa"/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A/c. No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480210100021319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CCY / SOL ID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INR / 48020</w:t>
            </w:r>
          </w:p>
        </w:tc>
      </w:tr>
      <w:tr w:rsidR="007B1CA1" w:rsidRPr="007B1CA1" w:rsidTr="007B1CA1">
        <w:trPr>
          <w:gridAfter w:val="2"/>
          <w:wAfter w:w="2747" w:type="dxa"/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Names  </w:t>
            </w:r>
          </w:p>
        </w:tc>
        <w:tc>
          <w:tcPr>
            <w:tcW w:w="0" w:type="auto"/>
            <w:gridSpan w:val="3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SACHIN KUMAR </w:t>
            </w: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GL Sub Head  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12050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Balance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66,907.06 Cr</w:t>
            </w: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Opening Bal.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68,136.06 Cr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Closing Bal.</w:t>
            </w:r>
          </w:p>
        </w:tc>
        <w:tc>
          <w:tcPr>
            <w:tcW w:w="100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66,907.06 Cr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  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  </w:t>
            </w:r>
          </w:p>
        </w:tc>
      </w:tr>
      <w:tr w:rsidR="007B1CA1" w:rsidRPr="007B1CA1" w:rsidTr="007B1CA1">
        <w:trPr>
          <w:tblCellSpacing w:w="15" w:type="dxa"/>
        </w:trPr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Float Balance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0.00 Cr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Funds In Clearing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0.00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Available Amt.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66,907.06 Cr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 xml:space="preserve">Eff. Available </w:t>
            </w:r>
            <w:proofErr w:type="spellStart"/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Amt</w:t>
            </w:r>
            <w:proofErr w:type="spellEnd"/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66,907.06 Cr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proofErr w:type="spellStart"/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Cust</w:t>
            </w:r>
            <w:proofErr w:type="spellEnd"/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. Status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00  Not Applicable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A/c. Open Date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22-11-2006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A/c. Status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A  Active</w:t>
            </w:r>
          </w:p>
        </w:tc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A/c. Status Date</w:t>
            </w:r>
          </w:p>
        </w:tc>
        <w:tc>
          <w:tcPr>
            <w:tcW w:w="750" w:type="pct"/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02-09-2019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100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Last Purge Date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10-10-2008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rHeight w:val="450"/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IN" w:bidi="hi-IN"/>
              </w:rPr>
              <w:t>Address</w:t>
            </w:r>
          </w:p>
        </w:tc>
        <w:tc>
          <w:tcPr>
            <w:tcW w:w="4500" w:type="pct"/>
            <w:gridSpan w:val="3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S/O RAJENDRA PRASAD,G.T.ROAD,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  <w:tc>
          <w:tcPr>
            <w:tcW w:w="4500" w:type="pct"/>
            <w:gridSpan w:val="3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ISRI BAZAR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  <w:tc>
          <w:tcPr>
            <w:tcW w:w="4500" w:type="pct"/>
            <w:gridSpan w:val="3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City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ISRI    </w:t>
            </w:r>
            <w:proofErr w:type="spellStart"/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ISRI</w:t>
            </w:r>
            <w:proofErr w:type="spellEnd"/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 xml:space="preserve"> BAZAR (DIST.GIRIDIH)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State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JH    JHARKHAND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Country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IN     INDIA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Postal Code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825107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Phone No.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9931541819 / 9931541819</w:t>
            </w:r>
          </w:p>
        </w:tc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Telex No.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7B1CA1" w:rsidRPr="007B1CA1" w:rsidTr="007B1CA1">
        <w:trPr>
          <w:tblCellSpacing w:w="15" w:type="dxa"/>
        </w:trPr>
        <w:tc>
          <w:tcPr>
            <w:tcW w:w="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  <w:t>Email ID</w:t>
            </w:r>
          </w:p>
        </w:tc>
        <w:tc>
          <w:tcPr>
            <w:tcW w:w="1750" w:type="pct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b/>
                <w:bCs/>
                <w:color w:val="8B0000"/>
                <w:sz w:val="17"/>
                <w:szCs w:val="17"/>
                <w:lang w:eastAsia="en-IN" w:bidi="hi-IN"/>
              </w:rPr>
              <w:t>sachinseth777@gmail.com</w:t>
            </w: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7B1CA1" w:rsidRPr="007B1CA1" w:rsidRDefault="007B1CA1" w:rsidP="007B1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pict>
          <v:rect id="_x0000_i1028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169"/>
        <w:gridCol w:w="562"/>
        <w:gridCol w:w="1186"/>
        <w:gridCol w:w="794"/>
        <w:gridCol w:w="1281"/>
        <w:gridCol w:w="2621"/>
      </w:tblGrid>
      <w:tr w:rsidR="007B1CA1" w:rsidRPr="007B1CA1" w:rsidTr="007B1CA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Tran.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Value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Chq.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proofErr w:type="spellStart"/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Withdrawl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Deposit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7B1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Narration</w:t>
            </w: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hyperlink r:id="rId13" w:history="1">
              <w:r w:rsidRPr="007B1CA1">
                <w:rPr>
                  <w:rFonts w:ascii="Verdana" w:eastAsia="Times New Roman" w:hAnsi="Verdana" w:cs="Times New Roman"/>
                  <w:b/>
                  <w:bCs/>
                  <w:color w:val="0000FF"/>
                  <w:sz w:val="17"/>
                  <w:szCs w:val="17"/>
                  <w:u w:val="single"/>
                  <w:lang w:eastAsia="en-IN" w:bidi="hi-IN"/>
                </w:rPr>
                <w:t>  20-01-2020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20-01-2020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1,180.00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66,907.06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MEDR/CAPITAWD /327673/ </w:t>
            </w:r>
          </w:p>
        </w:tc>
      </w:tr>
      <w:tr w:rsidR="007B1CA1" w:rsidRPr="007B1CA1" w:rsidTr="007B1C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hyperlink r:id="rId14" w:history="1">
              <w:r w:rsidRPr="007B1CA1">
                <w:rPr>
                  <w:rFonts w:ascii="Verdana" w:eastAsia="Times New Roman" w:hAnsi="Verdana" w:cs="Times New Roman"/>
                  <w:b/>
                  <w:bCs/>
                  <w:color w:val="0000FF"/>
                  <w:sz w:val="17"/>
                  <w:szCs w:val="17"/>
                  <w:u w:val="single"/>
                  <w:lang w:eastAsia="en-IN" w:bidi="hi-IN"/>
                </w:rPr>
                <w:t>  20-01-2020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20-01-2020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49.00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68,087.06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7B1CA1" w:rsidRPr="007B1CA1" w:rsidRDefault="007B1CA1" w:rsidP="007B1CA1">
            <w:pPr>
              <w:spacing w:before="30" w:after="3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 w:bidi="hi-IN"/>
              </w:rPr>
            </w:pPr>
            <w:r w:rsidRPr="007B1CA1">
              <w:rPr>
                <w:rFonts w:ascii="Verdana" w:eastAsia="Times New Roman" w:hAnsi="Verdana" w:cs="Times New Roman"/>
                <w:color w:val="8B0000"/>
                <w:sz w:val="17"/>
                <w:szCs w:val="17"/>
                <w:lang w:eastAsia="en-IN" w:bidi="hi-IN"/>
              </w:rPr>
              <w:t xml:space="preserve"> BUPI/002014129569/20-01-2020 14:05:28/UPI </w:t>
            </w:r>
          </w:p>
        </w:tc>
      </w:tr>
    </w:tbl>
    <w:p w:rsidR="007B1CA1" w:rsidRPr="007B1CA1" w:rsidRDefault="007B1CA1" w:rsidP="007B1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object w:dxaOrig="225" w:dyaOrig="225">
          <v:shape id="_x0000_i1044" type="#_x0000_t75" style="width:1in;height:18pt" o:ole="">
            <v:imagedata r:id="rId15" o:title=""/>
          </v:shape>
          <w:control r:id="rId16" w:name="DefaultOcxName2" w:shapeid="_x0000_i1044"/>
        </w:object>
      </w: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object w:dxaOrig="225" w:dyaOrig="225">
          <v:shape id="_x0000_i1043" type="#_x0000_t75" style="width:1in;height:18pt" o:ole="">
            <v:imagedata r:id="rId4" o:title=""/>
          </v:shape>
          <w:control r:id="rId17" w:name="DefaultOcxName3" w:shapeid="_x0000_i1043"/>
        </w:object>
      </w:r>
      <w:r w:rsidRPr="007B1CA1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pict/>
      </w:r>
    </w:p>
    <w:p w:rsidR="007B1CA1" w:rsidRPr="007B1CA1" w:rsidRDefault="007B1CA1" w:rsidP="007B1C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 w:bidi="hi-IN"/>
        </w:rPr>
      </w:pPr>
      <w:r w:rsidRPr="007B1CA1">
        <w:rPr>
          <w:rFonts w:ascii="Arial" w:eastAsia="Times New Roman" w:hAnsi="Arial" w:cs="Mangal"/>
          <w:vanish/>
          <w:sz w:val="16"/>
          <w:szCs w:val="14"/>
          <w:lang w:eastAsia="en-IN" w:bidi="hi-IN"/>
        </w:rPr>
        <w:t>Bottom of Form</w:t>
      </w:r>
    </w:p>
    <w:p w:rsidR="0068152B" w:rsidRDefault="007B1CA1">
      <w:bookmarkStart w:id="0" w:name="_GoBack"/>
      <w:bookmarkEnd w:id="0"/>
    </w:p>
    <w:sectPr w:rsidR="0068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1"/>
    <w:rsid w:val="003C7664"/>
    <w:rsid w:val="007B1CA1"/>
    <w:rsid w:val="00E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69650E8-3ED8-40C2-A6A8-FB4431A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A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B1CA1"/>
    <w:rPr>
      <w:b/>
      <w:bCs/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C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CA1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C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CA1"/>
    <w:rPr>
      <w:rFonts w:ascii="Arial" w:eastAsia="Times New Roman" w:hAnsi="Arial" w:cs="Mangal"/>
      <w:vanish/>
      <w:sz w:val="16"/>
      <w:szCs w:val="1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.2.92:8088/fincrv/help/Transaction_Inquiry_-_Overview.htm" TargetMode="External"/><Relationship Id="rId13" Type="http://schemas.openxmlformats.org/officeDocument/2006/relationships/hyperlink" Target="http://172.1.2.92:8088/fincrv/arjspmorph/INFENG/trandet.jsp?TranId=S26130429&amp;TranDate=20-01-2020&amp;PartTranSerialNum=1&amp;sessionid=O:62200962&amp;sectok=cc89c3a6fef020c221727ac368454026&amp;fabsessionid=&amp;finsessionid=O:62200962&amp;Acid=4802101000213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gif"/><Relationship Id="rId17" Type="http://schemas.openxmlformats.org/officeDocument/2006/relationships/control" Target="activeX/activeX4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gif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10" Type="http://schemas.openxmlformats.org/officeDocument/2006/relationships/hyperlink" Target="javascript:history.back()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4" Type="http://schemas.openxmlformats.org/officeDocument/2006/relationships/hyperlink" Target="http://172.1.2.92:8088/fincrv/arjspmorph/INFENG/trandet.jsp?TranId=S26091644&amp;TranDate=20-01-2020&amp;PartTranSerialNum=1&amp;sessionid=O:62200962&amp;sectok=cc89c3a6fef020c221727ac368454026&amp;fabsessionid=&amp;finsessionid=O:62200962&amp;Acid=48021010002131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Smecitycentre Bokaro</dc:creator>
  <cp:keywords/>
  <dc:description/>
  <cp:lastModifiedBy>Smecitycentre Bokaro</cp:lastModifiedBy>
  <cp:revision>1</cp:revision>
  <dcterms:created xsi:type="dcterms:W3CDTF">2020-01-20T11:12:00Z</dcterms:created>
  <dcterms:modified xsi:type="dcterms:W3CDTF">2020-01-20T11:12:00Z</dcterms:modified>
</cp:coreProperties>
</file>