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color w:val="0A192F"/>
          <w:sz w:val="38"/>
          <w:szCs w:val="38"/>
        </w:rPr>
        <w:t xml:space="preserve">BJK HEALTHCARE LIMITED</w:t>
      </w:r>
    </w:p>
    <w:p>
      <w:pPr>
        <w:spacing w:after="200" w:before="0"/>
        <w:jc w:val="center"/>
      </w:pPr>
      <w:r>
        <w:rPr>
          <w:rFonts w:ascii="Calibri" w:cs="Calibri" w:eastAsia="Calibri" w:hAnsi="Calibri"/>
          <w:b/>
          <w:bCs/>
          <w:color w:val="00A896"/>
          <w:sz w:val="24"/>
          <w:szCs w:val="24"/>
        </w:rPr>
        <w:t xml:space="preserve">DIGITAL BRAIN — ENTERPRISE HRMS &amp; WORKFORCE INTELLIGENCE PLATFORM</w:t>
      </w:r>
    </w:p>
    <w:p>
      <w:pPr>
        <w:spacing w:after="400" w:before="0"/>
        <w:jc w:val="center"/>
      </w:pPr>
      <w:r>
        <w:rPr>
          <w:rFonts w:ascii="Calibri" w:cs="Calibri" w:eastAsia="Calibri" w:hAnsi="Calibri"/>
          <w:i/>
          <w:iCs/>
          <w:color w:val="64748B"/>
          <w:sz w:val="20"/>
          <w:szCs w:val="20"/>
        </w:rPr>
        <w:t xml:space="preserve">"One Company. One Digital Brain. Intelligent Healthcare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8FAFC" w:val="clear"/>
            <w:tcMar>
              <w:top w:type="dxa" w:w="140"/>
              <w:left w:type="dxa" w:w="180"/>
              <w:bottom w:type="dxa" w:w="140"/>
              <w:right w:type="dxa" w:w="180"/>
            </w:tcMar>
          </w:tcPr>
          <w:p>
            <w:r>
              <w:rPr>
                <w:b/>
                <w:bCs/>
                <w:sz w:val="20"/>
                <w:szCs w:val="20"/>
              </w:rPr>
              <w:t xml:space="preserve">Document Classification: </w:t>
            </w:r>
            <w:r>
              <w:rPr>
                <w:sz w:val="20"/>
                <w:szCs w:val="20"/>
              </w:rPr>
              <w:t xml:space="preserve">Confidential Enterprise Specification &amp; Technical Blueprint
</w:t>
            </w:r>
            <w:r>
              <w:rPr>
                <w:b/>
                <w:bCs/>
                <w:sz w:val="20"/>
                <w:szCs w:val="20"/>
              </w:rPr>
              <w:t xml:space="preserve">System Module: </w:t>
            </w:r>
            <w:r>
              <w:rPr>
                <w:sz w:val="20"/>
                <w:szCs w:val="20"/>
              </w:rPr>
              <w:t xml:space="preserve">Human Resource Management System (HRMS) &amp; GxP Compliance
</w:t>
            </w:r>
            <w:r>
              <w:rPr>
                <w:b/>
                <w:bCs/>
                <w:sz w:val="20"/>
                <w:szCs w:val="20"/>
              </w:rPr>
              <w:t xml:space="preserve">Architecture Stack: </w:t>
            </w:r>
            <w:r>
              <w:rPr>
                <w:sz w:val="20"/>
                <w:szCs w:val="20"/>
              </w:rPr>
              <w:t xml:space="preserve">MERN Stack (MongoDB Atlas, Express.js, React 18, Node.js) + PDFKit Engine
</w:t>
            </w:r>
            <w:r>
              <w:rPr>
                <w:b/>
                <w:bCs/>
                <w:sz w:val="20"/>
                <w:szCs w:val="20"/>
              </w:rPr>
              <w:t xml:space="preserve">Regulatory Standards: </w:t>
            </w:r>
            <w:r>
              <w:rPr>
                <w:sz w:val="20"/>
                <w:szCs w:val="20"/>
              </w:rPr>
              <w:t xml:space="preserve">WHO-GMP Schedule M, 21 CFR Part 11 Electronic Records, Indian Labor Codes
</w:t>
            </w:r>
            <w:r>
              <w:rPr>
                <w:b/>
                <w:bCs/>
                <w:sz w:val="20"/>
                <w:szCs w:val="20"/>
              </w:rPr>
              <w:t xml:space="preserve">Date Generated: </w:t>
            </w:r>
            <w:r>
              <w:rPr>
                <w:sz w:val="20"/>
                <w:szCs w:val="20"/>
              </w:rPr>
              <w:t xml:space="preserve">24 September 2026
</w:t>
            </w:r>
          </w:p>
        </w:tc>
      </w:tr>
    </w:tbl>
    <w:p>
      <w:pPr>
        <w:pStyle w:val="Heading1"/>
        <w:pBdr>
          <w:bottom w:val="single" w:color="00A896" w:sz="12" w:space="4"/>
        </w:pBdr>
        <w:spacing w:after="140" w:before="360"/>
        <w:rPr>
          <w:rFonts w:ascii="Calibri" w:cs="Calibri" w:eastAsia="Calibri" w:hAnsi="Calibri"/>
          <w:b/>
          <w:bCs/>
          <w:color w:val="0A192F"/>
          <w:sz w:val="32"/>
          <w:szCs w:val="32"/>
        </w:rPr>
      </w:pPr>
      <w:r>
        <w:t xml:space="preserve">1. Executive Summary &amp; Product Identity</w:t>
      </w:r>
    </w:p>
    <w:p>
      <w:pPr>
        <w:spacing w:after="80" w:before="80"/>
      </w:pPr>
      <w:r>
        <w:rPr>
          <w:rFonts w:ascii="Calibri" w:cs="Calibri" w:eastAsia="Calibri" w:hAnsi="Calibri"/>
          <w:b w:val="false"/>
          <w:bCs w:val="false"/>
          <w:color w:val="1E293B"/>
          <w:sz w:val="21"/>
          <w:szCs w:val="21"/>
        </w:rPr>
        <w:t xml:space="preserve">BJK Healthcare Digital Brain is a high-assurance enterprise operations platform specifically tailored for regulated pharmaceutical formulations, cleanroom manufacturing, quality assurance, regulatory affairs, and corporate healthcare administration.</w:t>
      </w:r>
    </w:p>
    <w:p>
      <w:pPr>
        <w:spacing w:after="80" w:before="80"/>
      </w:pPr>
      <w:r>
        <w:rPr>
          <w:rFonts w:ascii="Calibri" w:cs="Calibri" w:eastAsia="Calibri" w:hAnsi="Calibri"/>
          <w:b w:val="false"/>
          <w:bCs w:val="false"/>
          <w:color w:val="1E293B"/>
          <w:sz w:val="21"/>
          <w:szCs w:val="21"/>
        </w:rPr>
        <w:t xml:space="preserve">Unlike generic HR tools, the BJK Healthcare HRMS module couples labor law compliance with pharmaceutical validation standards (cGMP, GLP, GDP), shift rostering with mandatory cleanroom credential checks, and automated payroll with accurate night shift and overtime engines.</w:t>
      </w:r>
    </w:p>
    <w:p>
      <w:pPr>
        <w:pStyle w:val="ListParagraph"/>
        <w:numPr>
          <w:ilvl w:val="0"/>
          <w:numId w:val="1"/>
        </w:numPr>
        <w:spacing w:after="50" w:before="50"/>
      </w:pPr>
      <w:r>
        <w:rPr>
          <w:rFonts w:ascii="Calibri" w:cs="Calibri" w:eastAsia="Calibri" w:hAnsi="Calibri"/>
          <w:b/>
          <w:bCs/>
          <w:color w:val="0A192F"/>
          <w:sz w:val="21"/>
          <w:szCs w:val="21"/>
        </w:rPr>
        <w:t xml:space="preserve">Platform Motto: </w:t>
      </w:r>
      <w:r>
        <w:rPr>
          <w:rFonts w:ascii="Calibri" w:cs="Calibri" w:eastAsia="Calibri" w:hAnsi="Calibri"/>
          <w:color w:val="1E293B"/>
          <w:sz w:val="21"/>
          <w:szCs w:val="21"/>
        </w:rPr>
        <w:t xml:space="preserve">One Company. One Digital Brain. Intelligent Healthcare Operations.</w:t>
      </w:r>
    </w:p>
    <w:p>
      <w:pPr>
        <w:pStyle w:val="ListParagraph"/>
        <w:numPr>
          <w:ilvl w:val="0"/>
          <w:numId w:val="1"/>
        </w:numPr>
        <w:spacing w:after="50" w:before="50"/>
      </w:pPr>
      <w:r>
        <w:rPr>
          <w:rFonts w:ascii="Calibri" w:cs="Calibri" w:eastAsia="Calibri" w:hAnsi="Calibri"/>
          <w:b/>
          <w:bCs/>
          <w:color w:val="0A192F"/>
          <w:sz w:val="21"/>
          <w:szCs w:val="21"/>
        </w:rPr>
        <w:t xml:space="preserve">HRMS Mission: </w:t>
      </w:r>
      <w:r>
        <w:rPr>
          <w:rFonts w:ascii="Calibri" w:cs="Calibri" w:eastAsia="Calibri" w:hAnsi="Calibri"/>
          <w:color w:val="1E293B"/>
          <w:sz w:val="21"/>
          <w:szCs w:val="21"/>
        </w:rPr>
        <w:t xml:space="preserve">Intelligent Workforce Management for Healthcare &amp; Pharmaceutical Operations.</w:t>
      </w:r>
    </w:p>
    <w:p>
      <w:pPr>
        <w:pStyle w:val="ListParagraph"/>
        <w:numPr>
          <w:ilvl w:val="0"/>
          <w:numId w:val="1"/>
        </w:numPr>
        <w:spacing w:after="50" w:before="50"/>
      </w:pPr>
      <w:r>
        <w:rPr>
          <w:rFonts w:ascii="Calibri" w:cs="Calibri" w:eastAsia="Calibri" w:hAnsi="Calibri"/>
          <w:b/>
          <w:bCs/>
          <w:color w:val="0A192F"/>
          <w:sz w:val="21"/>
          <w:szCs w:val="21"/>
        </w:rPr>
        <w:t xml:space="preserve">Single Source of Truth: </w:t>
      </w:r>
      <w:r>
        <w:rPr>
          <w:rFonts w:ascii="Calibri" w:cs="Calibri" w:eastAsia="Calibri" w:hAnsi="Calibri"/>
          <w:color w:val="1E293B"/>
          <w:sz w:val="21"/>
          <w:szCs w:val="21"/>
        </w:rPr>
        <w:t xml:space="preserve">Unified authentication, role-based access control, and centralized audit logging.</w:t>
      </w:r>
    </w:p>
    <w:p>
      <w:pPr>
        <w:pStyle w:val="Heading1"/>
        <w:pBdr>
          <w:bottom w:val="single" w:color="00A896" w:sz="12" w:space="4"/>
        </w:pBdr>
        <w:spacing w:after="140" w:before="360"/>
        <w:rPr>
          <w:rFonts w:ascii="Calibri" w:cs="Calibri" w:eastAsia="Calibri" w:hAnsi="Calibri"/>
          <w:b/>
          <w:bCs/>
          <w:color w:val="0A192F"/>
          <w:sz w:val="32"/>
          <w:szCs w:val="32"/>
        </w:rPr>
      </w:pPr>
      <w:r>
        <w:t xml:space="preserve">2. System Architecture &amp; Technology Foundation</w:t>
      </w:r>
    </w:p>
    <w:p>
      <w:pPr>
        <w:pStyle w:val="ListParagraph"/>
        <w:numPr>
          <w:ilvl w:val="0"/>
          <w:numId w:val="1"/>
        </w:numPr>
        <w:spacing w:after="50" w:before="50"/>
      </w:pPr>
      <w:r>
        <w:rPr>
          <w:rFonts w:ascii="Calibri" w:cs="Calibri" w:eastAsia="Calibri" w:hAnsi="Calibri"/>
          <w:b/>
          <w:bCs/>
          <w:color w:val="0A192F"/>
          <w:sz w:val="21"/>
          <w:szCs w:val="21"/>
        </w:rPr>
        <w:t xml:space="preserve">Frontend: </w:t>
      </w:r>
      <w:r>
        <w:rPr>
          <w:rFonts w:ascii="Calibri" w:cs="Calibri" w:eastAsia="Calibri" w:hAnsi="Calibri"/>
          <w:color w:val="1E293B"/>
          <w:sz w:val="21"/>
          <w:szCs w:val="21"/>
        </w:rPr>
        <w:t xml:space="preserve">React 18, Vite 5, Tailwind CSS, React Router v6, Lucide React, Recharts analytics.</w:t>
      </w:r>
    </w:p>
    <w:p>
      <w:pPr>
        <w:pStyle w:val="ListParagraph"/>
        <w:numPr>
          <w:ilvl w:val="0"/>
          <w:numId w:val="1"/>
        </w:numPr>
        <w:spacing w:after="50" w:before="50"/>
      </w:pPr>
      <w:r>
        <w:rPr>
          <w:rFonts w:ascii="Calibri" w:cs="Calibri" w:eastAsia="Calibri" w:hAnsi="Calibri"/>
          <w:b/>
          <w:bCs/>
          <w:color w:val="0A192F"/>
          <w:sz w:val="21"/>
          <w:szCs w:val="21"/>
        </w:rPr>
        <w:t xml:space="preserve">Backend: </w:t>
      </w:r>
      <w:r>
        <w:rPr>
          <w:rFonts w:ascii="Calibri" w:cs="Calibri" w:eastAsia="Calibri" w:hAnsi="Calibri"/>
          <w:color w:val="1E293B"/>
          <w:sz w:val="21"/>
          <w:szCs w:val="21"/>
        </w:rPr>
        <w:t xml:space="preserve">Node.js, Express.js, JWT, bcryptjs, Helmet, CORS, PDFKit binary streaming.</w:t>
      </w:r>
    </w:p>
    <w:p>
      <w:pPr>
        <w:pStyle w:val="ListParagraph"/>
        <w:numPr>
          <w:ilvl w:val="0"/>
          <w:numId w:val="1"/>
        </w:numPr>
        <w:spacing w:after="50" w:before="50"/>
      </w:pPr>
      <w:r>
        <w:rPr>
          <w:rFonts w:ascii="Calibri" w:cs="Calibri" w:eastAsia="Calibri" w:hAnsi="Calibri"/>
          <w:b/>
          <w:bCs/>
          <w:color w:val="0A192F"/>
          <w:sz w:val="21"/>
          <w:szCs w:val="21"/>
        </w:rPr>
        <w:t xml:space="preserve">Database: </w:t>
      </w:r>
      <w:r>
        <w:rPr>
          <w:rFonts w:ascii="Calibri" w:cs="Calibri" w:eastAsia="Calibri" w:hAnsi="Calibri"/>
          <w:color w:val="1E293B"/>
          <w:sz w:val="21"/>
          <w:szCs w:val="21"/>
        </w:rPr>
        <w:t xml:space="preserve">MongoDB Atlas (Single cluster, database: bjk_healthcare) with indexed Mongoose schemas.</w:t>
      </w:r>
    </w:p>
    <w:p>
      <w:pPr>
        <w:pStyle w:val="ListParagraph"/>
        <w:numPr>
          <w:ilvl w:val="0"/>
          <w:numId w:val="1"/>
        </w:numPr>
        <w:spacing w:after="50" w:before="50"/>
      </w:pPr>
      <w:r>
        <w:rPr>
          <w:rFonts w:ascii="Calibri" w:cs="Calibri" w:eastAsia="Calibri" w:hAnsi="Calibri"/>
          <w:b/>
          <w:bCs/>
          <w:color w:val="0A192F"/>
          <w:sz w:val="21"/>
          <w:szCs w:val="21"/>
        </w:rPr>
        <w:t xml:space="preserve">Auditing: </w:t>
      </w:r>
      <w:r>
        <w:rPr>
          <w:rFonts w:ascii="Calibri" w:cs="Calibri" w:eastAsia="Calibri" w:hAnsi="Calibri"/>
          <w:color w:val="1E293B"/>
          <w:sz w:val="21"/>
          <w:szCs w:val="21"/>
        </w:rPr>
        <w:t xml:space="preserve">21 CFR Part 11 compliant audit trail recording user, action, IP, module, and timestamp.</w:t>
      </w:r>
    </w:p>
    <w:p>
      <w:pPr>
        <w:pStyle w:val="Heading1"/>
        <w:pBdr>
          <w:bottom w:val="single" w:color="00A896" w:sz="12" w:space="4"/>
        </w:pBdr>
        <w:spacing w:after="140" w:before="360"/>
        <w:rPr>
          <w:rFonts w:ascii="Calibri" w:cs="Calibri" w:eastAsia="Calibri" w:hAnsi="Calibri"/>
          <w:b/>
          <w:bCs/>
          <w:color w:val="0A192F"/>
          <w:sz w:val="32"/>
          <w:szCs w:val="32"/>
        </w:rPr>
      </w:pPr>
      <w:r>
        <w:t xml:space="preserve">3. Complete 16-Stage Employee Lifecycle Workflow</w:t>
      </w:r>
    </w:p>
    <w:p>
      <w:pPr>
        <w:spacing w:after="80" w:before="80"/>
      </w:pPr>
      <w:r>
        <w:rPr>
          <w:rFonts w:ascii="Calibri" w:cs="Calibri" w:eastAsia="Calibri" w:hAnsi="Calibri"/>
          <w:b w:val="false"/>
          <w:bCs w:val="false"/>
          <w:color w:val="1E293B"/>
          <w:sz w:val="21"/>
          <w:szCs w:val="21"/>
        </w:rPr>
        <w:t xml:space="preserve">The HRMS manages every phase of human capital across pharmaceutical operations:</w:t>
      </w:r>
    </w:p>
    <w:p>
      <w:pPr>
        <w:pStyle w:val="ListParagraph"/>
        <w:numPr>
          <w:ilvl w:val="0"/>
          <w:numId w:val="1"/>
        </w:numPr>
        <w:spacing w:after="50" w:before="50"/>
      </w:pPr>
      <w:r>
        <w:rPr>
          <w:rFonts w:ascii="Calibri" w:cs="Calibri" w:eastAsia="Calibri" w:hAnsi="Calibri"/>
          <w:b/>
          <w:bCs/>
          <w:color w:val="0A192F"/>
          <w:sz w:val="21"/>
          <w:szCs w:val="21"/>
        </w:rPr>
        <w:t xml:space="preserve">1. PLAN: </w:t>
      </w:r>
      <w:r>
        <w:rPr>
          <w:rFonts w:ascii="Calibri" w:cs="Calibri" w:eastAsia="Calibri" w:hAnsi="Calibri"/>
          <w:color w:val="1E293B"/>
          <w:sz w:val="21"/>
          <w:szCs w:val="21"/>
        </w:rPr>
        <w:t xml:space="preserve">Manpower requisition approval based on plant capacity and headcount quotas.</w:t>
      </w:r>
    </w:p>
    <w:p>
      <w:pPr>
        <w:pStyle w:val="ListParagraph"/>
        <w:numPr>
          <w:ilvl w:val="0"/>
          <w:numId w:val="1"/>
        </w:numPr>
        <w:spacing w:after="50" w:before="50"/>
      </w:pPr>
      <w:r>
        <w:rPr>
          <w:rFonts w:ascii="Calibri" w:cs="Calibri" w:eastAsia="Calibri" w:hAnsi="Calibri"/>
          <w:b/>
          <w:bCs/>
          <w:color w:val="0A192F"/>
          <w:sz w:val="21"/>
          <w:szCs w:val="21"/>
        </w:rPr>
        <w:t xml:space="preserve">2. RECRUIT: </w:t>
      </w:r>
      <w:r>
        <w:rPr>
          <w:rFonts w:ascii="Calibri" w:cs="Calibri" w:eastAsia="Calibri" w:hAnsi="Calibri"/>
          <w:color w:val="1E293B"/>
          <w:sz w:val="21"/>
          <w:szCs w:val="21"/>
        </w:rPr>
        <w:t xml:space="preserve">Pharma job postings (B.Pharm, M.Pharm, QA/QC) and candidate screening pipeline.</w:t>
      </w:r>
    </w:p>
    <w:p>
      <w:pPr>
        <w:pStyle w:val="ListParagraph"/>
        <w:numPr>
          <w:ilvl w:val="0"/>
          <w:numId w:val="1"/>
        </w:numPr>
        <w:spacing w:after="50" w:before="50"/>
      </w:pPr>
      <w:r>
        <w:rPr>
          <w:rFonts w:ascii="Calibri" w:cs="Calibri" w:eastAsia="Calibri" w:hAnsi="Calibri"/>
          <w:b/>
          <w:bCs/>
          <w:color w:val="0A192F"/>
          <w:sz w:val="21"/>
          <w:szCs w:val="21"/>
        </w:rPr>
        <w:t xml:space="preserve">3. SELECT: </w:t>
      </w:r>
      <w:r>
        <w:rPr>
          <w:rFonts w:ascii="Calibri" w:cs="Calibri" w:eastAsia="Calibri" w:hAnsi="Calibri"/>
          <w:color w:val="1E293B"/>
          <w:sz w:val="21"/>
          <w:szCs w:val="21"/>
        </w:rPr>
        <w:t xml:space="preserve">Technical interviews, assessment scores, and hiring manager selection.</w:t>
      </w:r>
    </w:p>
    <w:p>
      <w:pPr>
        <w:pStyle w:val="ListParagraph"/>
        <w:numPr>
          <w:ilvl w:val="0"/>
          <w:numId w:val="1"/>
        </w:numPr>
        <w:spacing w:after="50" w:before="50"/>
      </w:pPr>
      <w:r>
        <w:rPr>
          <w:rFonts w:ascii="Calibri" w:cs="Calibri" w:eastAsia="Calibri" w:hAnsi="Calibri"/>
          <w:b/>
          <w:bCs/>
          <w:color w:val="0A192F"/>
          <w:sz w:val="21"/>
          <w:szCs w:val="21"/>
        </w:rPr>
        <w:t xml:space="preserve">4. HIRE: </w:t>
      </w:r>
      <w:r>
        <w:rPr>
          <w:rFonts w:ascii="Calibri" w:cs="Calibri" w:eastAsia="Calibri" w:hAnsi="Calibri"/>
          <w:color w:val="1E293B"/>
          <w:sz w:val="21"/>
          <w:szCs w:val="21"/>
        </w:rPr>
        <w:t xml:space="preserve">Automated generation of official Offer Letters with CTC Annexure A.</w:t>
      </w:r>
    </w:p>
    <w:p>
      <w:pPr>
        <w:pStyle w:val="ListParagraph"/>
        <w:numPr>
          <w:ilvl w:val="0"/>
          <w:numId w:val="1"/>
        </w:numPr>
        <w:spacing w:after="50" w:before="50"/>
      </w:pPr>
      <w:r>
        <w:rPr>
          <w:rFonts w:ascii="Calibri" w:cs="Calibri" w:eastAsia="Calibri" w:hAnsi="Calibri"/>
          <w:b/>
          <w:bCs/>
          <w:color w:val="0A192F"/>
          <w:sz w:val="21"/>
          <w:szCs w:val="21"/>
        </w:rPr>
        <w:t xml:space="preserve">5. ONBOARD: </w:t>
      </w:r>
      <w:r>
        <w:rPr>
          <w:rFonts w:ascii="Calibri" w:cs="Calibri" w:eastAsia="Calibri" w:hAnsi="Calibri"/>
          <w:color w:val="1E293B"/>
          <w:sz w:val="21"/>
          <w:szCs w:val="21"/>
        </w:rPr>
        <w:t xml:space="preserve">Task tracking (PAN, Bank, NDA, GMP induction) with completion percentage.</w:t>
      </w:r>
    </w:p>
    <w:p>
      <w:pPr>
        <w:pStyle w:val="ListParagraph"/>
        <w:numPr>
          <w:ilvl w:val="0"/>
          <w:numId w:val="1"/>
        </w:numPr>
        <w:spacing w:after="50" w:before="50"/>
      </w:pPr>
      <w:r>
        <w:rPr>
          <w:rFonts w:ascii="Calibri" w:cs="Calibri" w:eastAsia="Calibri" w:hAnsi="Calibri"/>
          <w:b/>
          <w:bCs/>
          <w:color w:val="0A192F"/>
          <w:sz w:val="21"/>
          <w:szCs w:val="21"/>
        </w:rPr>
        <w:t xml:space="preserve">6. ASSIGN: </w:t>
      </w:r>
      <w:r>
        <w:rPr>
          <w:rFonts w:ascii="Calibri" w:cs="Calibri" w:eastAsia="Calibri" w:hAnsi="Calibri"/>
          <w:color w:val="1E293B"/>
          <w:sz w:val="21"/>
          <w:szCs w:val="21"/>
        </w:rPr>
        <w:t xml:space="preserve">Departmental allocation, designation, and reporting manager setup.</w:t>
      </w:r>
    </w:p>
    <w:p>
      <w:pPr>
        <w:pStyle w:val="ListParagraph"/>
        <w:numPr>
          <w:ilvl w:val="0"/>
          <w:numId w:val="1"/>
        </w:numPr>
        <w:spacing w:after="50" w:before="50"/>
      </w:pPr>
      <w:r>
        <w:rPr>
          <w:rFonts w:ascii="Calibri" w:cs="Calibri" w:eastAsia="Calibri" w:hAnsi="Calibri"/>
          <w:b/>
          <w:bCs/>
          <w:color w:val="0A192F"/>
          <w:sz w:val="21"/>
          <w:szCs w:val="21"/>
        </w:rPr>
        <w:t xml:space="preserve">7. ATTEND: </w:t>
      </w:r>
      <w:r>
        <w:rPr>
          <w:rFonts w:ascii="Calibri" w:cs="Calibri" w:eastAsia="Calibri" w:hAnsi="Calibri"/>
          <w:color w:val="1E293B"/>
          <w:sz w:val="21"/>
          <w:szCs w:val="21"/>
        </w:rPr>
        <w:t xml:space="preserve">Multi-source check-in/out (Web, Mobile, Biometric adapter) with punch regularization.</w:t>
      </w:r>
    </w:p>
    <w:p>
      <w:pPr>
        <w:pStyle w:val="ListParagraph"/>
        <w:numPr>
          <w:ilvl w:val="0"/>
          <w:numId w:val="1"/>
        </w:numPr>
        <w:spacing w:after="50" w:before="50"/>
      </w:pPr>
      <w:r>
        <w:rPr>
          <w:rFonts w:ascii="Calibri" w:cs="Calibri" w:eastAsia="Calibri" w:hAnsi="Calibri"/>
          <w:b/>
          <w:bCs/>
          <w:color w:val="0A192F"/>
          <w:sz w:val="21"/>
          <w:szCs w:val="21"/>
        </w:rPr>
        <w:t xml:space="preserve">8. SCHEDULE: </w:t>
      </w:r>
      <w:r>
        <w:rPr>
          <w:rFonts w:ascii="Calibri" w:cs="Calibri" w:eastAsia="Calibri" w:hAnsi="Calibri"/>
          <w:color w:val="1E293B"/>
          <w:sz w:val="21"/>
          <w:szCs w:val="21"/>
        </w:rPr>
        <w:t xml:space="preserve">Shift rostering with conflict detection and rest-period verification.</w:t>
      </w:r>
    </w:p>
    <w:p>
      <w:pPr>
        <w:pStyle w:val="ListParagraph"/>
        <w:numPr>
          <w:ilvl w:val="0"/>
          <w:numId w:val="1"/>
        </w:numPr>
        <w:spacing w:after="50" w:before="50"/>
      </w:pPr>
      <w:r>
        <w:rPr>
          <w:rFonts w:ascii="Calibri" w:cs="Calibri" w:eastAsia="Calibri" w:hAnsi="Calibri"/>
          <w:b/>
          <w:bCs/>
          <w:color w:val="0A192F"/>
          <w:sz w:val="21"/>
          <w:szCs w:val="21"/>
        </w:rPr>
        <w:t xml:space="preserve">9. TRAIN: </w:t>
      </w:r>
      <w:r>
        <w:rPr>
          <w:rFonts w:ascii="Calibri" w:cs="Calibri" w:eastAsia="Calibri" w:hAnsi="Calibri"/>
          <w:color w:val="1E293B"/>
          <w:sz w:val="21"/>
          <w:szCs w:val="21"/>
        </w:rPr>
        <w:t xml:space="preserve">LMS catalog (WHO-GMP, SOPs, Data Integrity, EHS Safety) with pass scores.</w:t>
      </w:r>
    </w:p>
    <w:p>
      <w:pPr>
        <w:pStyle w:val="ListParagraph"/>
        <w:numPr>
          <w:ilvl w:val="0"/>
          <w:numId w:val="1"/>
        </w:numPr>
        <w:spacing w:after="50" w:before="50"/>
      </w:pPr>
      <w:r>
        <w:rPr>
          <w:rFonts w:ascii="Calibri" w:cs="Calibri" w:eastAsia="Calibri" w:hAnsi="Calibri"/>
          <w:b/>
          <w:bCs/>
          <w:color w:val="0A192F"/>
          <w:sz w:val="21"/>
          <w:szCs w:val="21"/>
        </w:rPr>
        <w:t xml:space="preserve">10. CERTIFY: </w:t>
      </w:r>
      <w:r>
        <w:rPr>
          <w:rFonts w:ascii="Calibri" w:cs="Calibri" w:eastAsia="Calibri" w:hAnsi="Calibri"/>
          <w:color w:val="1E293B"/>
          <w:sz w:val="21"/>
          <w:szCs w:val="21"/>
        </w:rPr>
        <w:t xml:space="preserve">Qualification licenses, cleanroom authorizations, and 90/60/30-day alerts.</w:t>
      </w:r>
    </w:p>
    <w:p>
      <w:pPr>
        <w:pStyle w:val="ListParagraph"/>
        <w:numPr>
          <w:ilvl w:val="0"/>
          <w:numId w:val="1"/>
        </w:numPr>
        <w:spacing w:after="50" w:before="50"/>
      </w:pPr>
      <w:r>
        <w:rPr>
          <w:rFonts w:ascii="Calibri" w:cs="Calibri" w:eastAsia="Calibri" w:hAnsi="Calibri"/>
          <w:b/>
          <w:bCs/>
          <w:color w:val="0A192F"/>
          <w:sz w:val="21"/>
          <w:szCs w:val="21"/>
        </w:rPr>
        <w:t xml:space="preserve">11. PERFORM: </w:t>
      </w:r>
      <w:r>
        <w:rPr>
          <w:rFonts w:ascii="Calibri" w:cs="Calibri" w:eastAsia="Calibri" w:hAnsi="Calibri"/>
          <w:color w:val="1E293B"/>
          <w:sz w:val="21"/>
          <w:szCs w:val="21"/>
        </w:rPr>
        <w:t xml:space="preserve">Goal setting, KPI scorecards, self reviews, and manager appraisals.</w:t>
      </w:r>
    </w:p>
    <w:p>
      <w:pPr>
        <w:pStyle w:val="ListParagraph"/>
        <w:numPr>
          <w:ilvl w:val="0"/>
          <w:numId w:val="1"/>
        </w:numPr>
        <w:spacing w:after="50" w:before="50"/>
      </w:pPr>
      <w:r>
        <w:rPr>
          <w:rFonts w:ascii="Calibri" w:cs="Calibri" w:eastAsia="Calibri" w:hAnsi="Calibri"/>
          <w:b/>
          <w:bCs/>
          <w:color w:val="0A192F"/>
          <w:sz w:val="21"/>
          <w:szCs w:val="21"/>
        </w:rPr>
        <w:t xml:space="preserve">12. PAY: </w:t>
      </w:r>
      <w:r>
        <w:rPr>
          <w:rFonts w:ascii="Calibri" w:cs="Calibri" w:eastAsia="Calibri" w:hAnsi="Calibri"/>
          <w:color w:val="1E293B"/>
          <w:sz w:val="21"/>
          <w:szCs w:val="21"/>
        </w:rPr>
        <w:t xml:space="preserve">Statutory gross-to-net engine (EPF, ESI, PT, TDS) with automated payslip generation.</w:t>
      </w:r>
    </w:p>
    <w:p>
      <w:pPr>
        <w:pStyle w:val="ListParagraph"/>
        <w:numPr>
          <w:ilvl w:val="0"/>
          <w:numId w:val="1"/>
        </w:numPr>
        <w:spacing w:after="50" w:before="50"/>
      </w:pPr>
      <w:r>
        <w:rPr>
          <w:rFonts w:ascii="Calibri" w:cs="Calibri" w:eastAsia="Calibri" w:hAnsi="Calibri"/>
          <w:b/>
          <w:bCs/>
          <w:color w:val="0A192F"/>
          <w:sz w:val="21"/>
          <w:szCs w:val="21"/>
        </w:rPr>
        <w:t xml:space="preserve">13. DEVELOP: </w:t>
      </w:r>
      <w:r>
        <w:rPr>
          <w:rFonts w:ascii="Calibri" w:cs="Calibri" w:eastAsia="Calibri" w:hAnsi="Calibri"/>
          <w:color w:val="1E293B"/>
          <w:sz w:val="21"/>
          <w:szCs w:val="21"/>
        </w:rPr>
        <w:t xml:space="preserve">Skill matrix updates, promotion paths, and leadership pipelines.</w:t>
      </w:r>
    </w:p>
    <w:p>
      <w:pPr>
        <w:pStyle w:val="ListParagraph"/>
        <w:numPr>
          <w:ilvl w:val="0"/>
          <w:numId w:val="1"/>
        </w:numPr>
        <w:spacing w:after="50" w:before="50"/>
      </w:pPr>
      <w:r>
        <w:rPr>
          <w:rFonts w:ascii="Calibri" w:cs="Calibri" w:eastAsia="Calibri" w:hAnsi="Calibri"/>
          <w:b/>
          <w:bCs/>
          <w:color w:val="0A192F"/>
          <w:sz w:val="21"/>
          <w:szCs w:val="21"/>
        </w:rPr>
        <w:t xml:space="preserve">14. TRANSFER: </w:t>
      </w:r>
      <w:r>
        <w:rPr>
          <w:rFonts w:ascii="Calibri" w:cs="Calibri" w:eastAsia="Calibri" w:hAnsi="Calibri"/>
          <w:color w:val="1E293B"/>
          <w:sz w:val="21"/>
          <w:szCs w:val="21"/>
        </w:rPr>
        <w:t xml:space="preserve">Inter-facility transfer tracking between corporate and manufacturing units.</w:t>
      </w:r>
    </w:p>
    <w:p>
      <w:pPr>
        <w:pStyle w:val="ListParagraph"/>
        <w:numPr>
          <w:ilvl w:val="0"/>
          <w:numId w:val="1"/>
        </w:numPr>
        <w:spacing w:after="50" w:before="50"/>
      </w:pPr>
      <w:r>
        <w:rPr>
          <w:rFonts w:ascii="Calibri" w:cs="Calibri" w:eastAsia="Calibri" w:hAnsi="Calibri"/>
          <w:b/>
          <w:bCs/>
          <w:color w:val="0A192F"/>
          <w:sz w:val="21"/>
          <w:szCs w:val="21"/>
        </w:rPr>
        <w:t xml:space="preserve">15. PROMOTE: </w:t>
      </w:r>
      <w:r>
        <w:rPr>
          <w:rFonts w:ascii="Calibri" w:cs="Calibri" w:eastAsia="Calibri" w:hAnsi="Calibri"/>
          <w:color w:val="1E293B"/>
          <w:sz w:val="21"/>
          <w:szCs w:val="21"/>
        </w:rPr>
        <w:t xml:space="preserve">Designation and compensation revisions with historic revision tracking.</w:t>
      </w:r>
    </w:p>
    <w:p>
      <w:pPr>
        <w:pStyle w:val="ListParagraph"/>
        <w:numPr>
          <w:ilvl w:val="0"/>
          <w:numId w:val="1"/>
        </w:numPr>
        <w:spacing w:after="50" w:before="50"/>
      </w:pPr>
      <w:r>
        <w:rPr>
          <w:rFonts w:ascii="Calibri" w:cs="Calibri" w:eastAsia="Calibri" w:hAnsi="Calibri"/>
          <w:b/>
          <w:bCs/>
          <w:color w:val="0A192F"/>
          <w:sz w:val="21"/>
          <w:szCs w:val="21"/>
        </w:rPr>
        <w:t xml:space="preserve">16. EXIT: </w:t>
      </w:r>
      <w:r>
        <w:rPr>
          <w:rFonts w:ascii="Calibri" w:cs="Calibri" w:eastAsia="Calibri" w:hAnsi="Calibri"/>
          <w:color w:val="1E293B"/>
          <w:sz w:val="21"/>
          <w:szCs w:val="21"/>
        </w:rPr>
        <w:t xml:space="preserve">No-dues clearance, relieving letters, and full &amp; final (F&amp;F) settlement.</w:t>
      </w:r>
    </w:p>
    <w:p>
      <w:pPr>
        <w:pStyle w:val="Heading1"/>
        <w:pBdr>
          <w:bottom w:val="single" w:color="00A896" w:sz="12" w:space="4"/>
        </w:pBdr>
        <w:spacing w:after="140" w:before="360"/>
        <w:rPr>
          <w:rFonts w:ascii="Calibri" w:cs="Calibri" w:eastAsia="Calibri" w:hAnsi="Calibri"/>
          <w:b/>
          <w:bCs/>
          <w:color w:val="0A192F"/>
          <w:sz w:val="32"/>
          <w:szCs w:val="32"/>
        </w:rPr>
      </w:pPr>
      <w:r>
        <w:t xml:space="preserve">4. Role-Based Access Control (RBAC) Matrix</w:t>
      </w:r>
    </w:p>
    <w:p>
      <w:pPr>
        <w:spacing w:after="80" w:before="80"/>
      </w:pPr>
      <w:r>
        <w:rPr>
          <w:rFonts w:ascii="Calibri" w:cs="Calibri" w:eastAsia="Calibri" w:hAnsi="Calibri"/>
          <w:b w:val="false"/>
          <w:bCs w:val="false"/>
          <w:color w:val="1E293B"/>
          <w:sz w:val="21"/>
          <w:szCs w:val="21"/>
        </w:rPr>
        <w:t xml:space="preserve">Strict granular permissions protect employee privacy and prevent unauthorized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0A192F" w:val="clear"/>
            <w:tcMar>
              <w:top w:type="dxa" w:w="120"/>
              <w:left w:type="dxa" w:w="140"/>
              <w:bottom w:type="dxa" w:w="120"/>
              <w:right w:type="dxa" w:w="140"/>
            </w:tcMar>
          </w:tcPr>
          <w:p>
            <w:r>
              <w:rPr>
                <w:rFonts w:ascii="Calibri" w:cs="Calibri" w:eastAsia="Calibri" w:hAnsi="Calibri"/>
                <w:b/>
                <w:bCs/>
                <w:color w:val="FFFFFF"/>
                <w:sz w:val="19"/>
                <w:szCs w:val="19"/>
              </w:rPr>
              <w:t xml:space="preserve">Role</w:t>
            </w:r>
          </w:p>
        </w:tc>
        <w:tc>
          <w:tcPr>
            <w:tcW w:type="pct" w:w="35%"/>
            <w:shd w:fill="0A192F" w:val="clear"/>
            <w:tcMar>
              <w:top w:type="dxa" w:w="120"/>
              <w:left w:type="dxa" w:w="140"/>
              <w:bottom w:type="dxa" w:w="120"/>
              <w:right w:type="dxa" w:w="140"/>
            </w:tcMar>
          </w:tcPr>
          <w:p>
            <w:r>
              <w:rPr>
                <w:rFonts w:ascii="Calibri" w:cs="Calibri" w:eastAsia="Calibri" w:hAnsi="Calibri"/>
                <w:b/>
                <w:bCs/>
                <w:color w:val="FFFFFF"/>
                <w:sz w:val="19"/>
                <w:szCs w:val="19"/>
              </w:rPr>
              <w:t xml:space="preserve">Access Level</w:t>
            </w:r>
          </w:p>
        </w:tc>
        <w:tc>
          <w:tcPr>
            <w:tcW w:type="pct" w:w="40%"/>
            <w:shd w:fill="0A192F" w:val="clear"/>
            <w:tcMar>
              <w:top w:type="dxa" w:w="120"/>
              <w:left w:type="dxa" w:w="140"/>
              <w:bottom w:type="dxa" w:w="120"/>
              <w:right w:type="dxa" w:w="140"/>
            </w:tcMar>
          </w:tcPr>
          <w:p>
            <w:r>
              <w:rPr>
                <w:rFonts w:ascii="Calibri" w:cs="Calibri" w:eastAsia="Calibri" w:hAnsi="Calibri"/>
                <w:b/>
                <w:bCs/>
                <w:color w:val="FFFFFF"/>
                <w:sz w:val="19"/>
                <w:szCs w:val="19"/>
              </w:rPr>
              <w:t xml:space="preserve">Primary Capabilities</w:t>
            </w:r>
          </w:p>
        </w:tc>
      </w:tr>
      <w:tr>
        <w:tc>
          <w:tcPr>
            <w:tcW w:type="pct" w:w="25%"/>
            <w:shd w:fill="F8FAFC" w:val="clear"/>
            <w:tcMar>
              <w:top w:type="dxa" w:w="100"/>
              <w:left w:type="dxa" w:w="140"/>
              <w:bottom w:type="dxa" w:w="100"/>
              <w:right w:type="dxa" w:w="140"/>
            </w:tcMar>
          </w:tcPr>
          <w:p>
            <w:r>
              <w:rPr>
                <w:rFonts w:ascii="Calibri" w:cs="Calibri" w:eastAsia="Calibri" w:hAnsi="Calibri"/>
                <w:color w:val="1E293B"/>
                <w:sz w:val="19"/>
                <w:szCs w:val="19"/>
              </w:rPr>
              <w:t xml:space="preserve">SUPER_ADMIN / DIRECTOR</w:t>
            </w:r>
          </w:p>
        </w:tc>
        <w:tc>
          <w:tcPr>
            <w:tcW w:type="pct" w:w="35%"/>
            <w:shd w:fill="F8FAFC" w:val="clear"/>
            <w:tcMar>
              <w:top w:type="dxa" w:w="100"/>
              <w:left w:type="dxa" w:w="140"/>
              <w:bottom w:type="dxa" w:w="100"/>
              <w:right w:type="dxa" w:w="140"/>
            </w:tcMar>
          </w:tcPr>
          <w:p>
            <w:r>
              <w:rPr>
                <w:rFonts w:ascii="Calibri" w:cs="Calibri" w:eastAsia="Calibri" w:hAnsi="Calibri"/>
                <w:color w:val="1E293B"/>
                <w:sz w:val="19"/>
                <w:szCs w:val="19"/>
              </w:rPr>
              <w:t xml:space="preserve">Unrestricted Global Access</w:t>
            </w:r>
          </w:p>
        </w:tc>
        <w:tc>
          <w:tcPr>
            <w:tcW w:type="pct" w:w="40%"/>
            <w:shd w:fill="F8FAFC" w:val="clear"/>
            <w:tcMar>
              <w:top w:type="dxa" w:w="100"/>
              <w:left w:type="dxa" w:w="140"/>
              <w:bottom w:type="dxa" w:w="100"/>
              <w:right w:type="dxa" w:w="140"/>
            </w:tcMar>
          </w:tcPr>
          <w:p>
            <w:r>
              <w:rPr>
                <w:rFonts w:ascii="Calibri" w:cs="Calibri" w:eastAsia="Calibri" w:hAnsi="Calibri"/>
                <w:color w:val="1E293B"/>
                <w:sz w:val="19"/>
                <w:szCs w:val="19"/>
              </w:rPr>
              <w:t xml:space="preserve">Full management, audit review, executive dashboard, financial approval</w:t>
            </w:r>
          </w:p>
        </w:tc>
      </w:tr>
      <w:tr>
        <w:tc>
          <w:tcPr>
            <w:tcW w:type="pct" w:w="25%"/>
            <w:tcMar>
              <w:top w:type="dxa" w:w="100"/>
              <w:left w:type="dxa" w:w="140"/>
              <w:bottom w:type="dxa" w:w="100"/>
              <w:right w:type="dxa" w:w="140"/>
            </w:tcMar>
          </w:tcPr>
          <w:p>
            <w:r>
              <w:rPr>
                <w:rFonts w:ascii="Calibri" w:cs="Calibri" w:eastAsia="Calibri" w:hAnsi="Calibri"/>
                <w:color w:val="1E293B"/>
                <w:sz w:val="19"/>
                <w:szCs w:val="19"/>
              </w:rPr>
              <w:t xml:space="preserve">HR_ADMIN / HR_MANAGER</w:t>
            </w:r>
          </w:p>
        </w:tc>
        <w:tc>
          <w:tcPr>
            <w:tcW w:type="pct" w:w="35%"/>
            <w:tcMar>
              <w:top w:type="dxa" w:w="100"/>
              <w:left w:type="dxa" w:w="140"/>
              <w:bottom w:type="dxa" w:w="100"/>
              <w:right w:type="dxa" w:w="140"/>
            </w:tcMar>
          </w:tcPr>
          <w:p>
            <w:r>
              <w:rPr>
                <w:rFonts w:ascii="Calibri" w:cs="Calibri" w:eastAsia="Calibri" w:hAnsi="Calibri"/>
                <w:color w:val="1E293B"/>
                <w:sz w:val="19"/>
                <w:szCs w:val="19"/>
              </w:rPr>
              <w:t xml:space="preserve">HR Operations &amp; People</w:t>
            </w:r>
          </w:p>
        </w:tc>
        <w:tc>
          <w:tcPr>
            <w:tcW w:type="pct" w:w="40%"/>
            <w:tcMar>
              <w:top w:type="dxa" w:w="100"/>
              <w:left w:type="dxa" w:w="140"/>
              <w:bottom w:type="dxa" w:w="100"/>
              <w:right w:type="dxa" w:w="140"/>
            </w:tcMar>
          </w:tcPr>
          <w:p>
            <w:r>
              <w:rPr>
                <w:rFonts w:ascii="Calibri" w:cs="Calibri" w:eastAsia="Calibri" w:hAnsi="Calibri"/>
                <w:color w:val="1E293B"/>
                <w:sz w:val="19"/>
                <w:szCs w:val="19"/>
              </w:rPr>
              <w:t xml:space="preserve">Employee master, hiring, onboarding, shift setup, leave approvals, reports</w:t>
            </w:r>
          </w:p>
        </w:tc>
      </w:tr>
      <w:tr>
        <w:tc>
          <w:tcPr>
            <w:tcW w:type="pct" w:w="25%"/>
            <w:shd w:fill="F8FAFC" w:val="clear"/>
            <w:tcMar>
              <w:top w:type="dxa" w:w="100"/>
              <w:left w:type="dxa" w:w="140"/>
              <w:bottom w:type="dxa" w:w="100"/>
              <w:right w:type="dxa" w:w="140"/>
            </w:tcMar>
          </w:tcPr>
          <w:p>
            <w:r>
              <w:rPr>
                <w:rFonts w:ascii="Calibri" w:cs="Calibri" w:eastAsia="Calibri" w:hAnsi="Calibri"/>
                <w:color w:val="1E293B"/>
                <w:sz w:val="19"/>
                <w:szCs w:val="19"/>
              </w:rPr>
              <w:t xml:space="preserve">PAYROLL_ADMIN / FINANCE</w:t>
            </w:r>
          </w:p>
        </w:tc>
        <w:tc>
          <w:tcPr>
            <w:tcW w:type="pct" w:w="35%"/>
            <w:shd w:fill="F8FAFC" w:val="clear"/>
            <w:tcMar>
              <w:top w:type="dxa" w:w="100"/>
              <w:left w:type="dxa" w:w="140"/>
              <w:bottom w:type="dxa" w:w="100"/>
              <w:right w:type="dxa" w:w="140"/>
            </w:tcMar>
          </w:tcPr>
          <w:p>
            <w:r>
              <w:rPr>
                <w:rFonts w:ascii="Calibri" w:cs="Calibri" w:eastAsia="Calibri" w:hAnsi="Calibri"/>
                <w:color w:val="1E293B"/>
                <w:sz w:val="19"/>
                <w:szCs w:val="19"/>
              </w:rPr>
              <w:t xml:space="preserve">Confidential Financial Access</w:t>
            </w:r>
          </w:p>
        </w:tc>
        <w:tc>
          <w:tcPr>
            <w:tcW w:type="pct" w:w="40%"/>
            <w:shd w:fill="F8FAFC" w:val="clear"/>
            <w:tcMar>
              <w:top w:type="dxa" w:w="100"/>
              <w:left w:type="dxa" w:w="140"/>
              <w:bottom w:type="dxa" w:w="100"/>
              <w:right w:type="dxa" w:w="140"/>
            </w:tcMar>
          </w:tcPr>
          <w:p>
            <w:r>
              <w:rPr>
                <w:rFonts w:ascii="Calibri" w:cs="Calibri" w:eastAsia="Calibri" w:hAnsi="Calibri"/>
                <w:color w:val="1E293B"/>
                <w:sz w:val="19"/>
                <w:szCs w:val="19"/>
              </w:rPr>
              <w:t xml:space="preserve">Payroll execution, statutory rules, salary payslips, expense disbursements</w:t>
            </w:r>
          </w:p>
        </w:tc>
      </w:tr>
      <w:tr>
        <w:tc>
          <w:tcPr>
            <w:tcW w:type="pct" w:w="25%"/>
            <w:tcMar>
              <w:top w:type="dxa" w:w="100"/>
              <w:left w:type="dxa" w:w="140"/>
              <w:bottom w:type="dxa" w:w="100"/>
              <w:right w:type="dxa" w:w="140"/>
            </w:tcMar>
          </w:tcPr>
          <w:p>
            <w:r>
              <w:rPr>
                <w:rFonts w:ascii="Calibri" w:cs="Calibri" w:eastAsia="Calibri" w:hAnsi="Calibri"/>
                <w:color w:val="1E293B"/>
                <w:sz w:val="19"/>
                <w:szCs w:val="19"/>
              </w:rPr>
              <w:t xml:space="preserve">QC / QA / PROD MANAGER</w:t>
            </w:r>
          </w:p>
        </w:tc>
        <w:tc>
          <w:tcPr>
            <w:tcW w:type="pct" w:w="35%"/>
            <w:tcMar>
              <w:top w:type="dxa" w:w="100"/>
              <w:left w:type="dxa" w:w="140"/>
              <w:bottom w:type="dxa" w:w="100"/>
              <w:right w:type="dxa" w:w="140"/>
            </w:tcMar>
          </w:tcPr>
          <w:p>
            <w:r>
              <w:rPr>
                <w:rFonts w:ascii="Calibri" w:cs="Calibri" w:eastAsia="Calibri" w:hAnsi="Calibri"/>
                <w:color w:val="1E293B"/>
                <w:sz w:val="19"/>
                <w:szCs w:val="19"/>
              </w:rPr>
              <w:t xml:space="preserve">Department Operations</w:t>
            </w:r>
          </w:p>
        </w:tc>
        <w:tc>
          <w:tcPr>
            <w:tcW w:type="pct" w:w="40%"/>
            <w:tcMar>
              <w:top w:type="dxa" w:w="100"/>
              <w:left w:type="dxa" w:w="140"/>
              <w:bottom w:type="dxa" w:w="100"/>
              <w:right w:type="dxa" w:w="140"/>
            </w:tcMar>
          </w:tcPr>
          <w:p>
            <w:r>
              <w:rPr>
                <w:rFonts w:ascii="Calibri" w:cs="Calibri" w:eastAsia="Calibri" w:hAnsi="Calibri"/>
                <w:color w:val="1E293B"/>
                <w:sz w:val="19"/>
                <w:szCs w:val="19"/>
              </w:rPr>
              <w:t xml:space="preserve">Rostering, training completion sign-offs, shift swaps, team attendance</w:t>
            </w:r>
          </w:p>
        </w:tc>
      </w:tr>
      <w:tr>
        <w:tc>
          <w:tcPr>
            <w:tcW w:type="pct" w:w="25%"/>
            <w:shd w:fill="F8FAFC" w:val="clear"/>
            <w:tcMar>
              <w:top w:type="dxa" w:w="100"/>
              <w:left w:type="dxa" w:w="140"/>
              <w:bottom w:type="dxa" w:w="100"/>
              <w:right w:type="dxa" w:w="140"/>
            </w:tcMar>
          </w:tcPr>
          <w:p>
            <w:r>
              <w:rPr>
                <w:rFonts w:ascii="Calibri" w:cs="Calibri" w:eastAsia="Calibri" w:hAnsi="Calibri"/>
                <w:color w:val="1E293B"/>
                <w:sz w:val="19"/>
                <w:szCs w:val="19"/>
              </w:rPr>
              <w:t xml:space="preserve">EMPLOYEE</w:t>
            </w:r>
          </w:p>
        </w:tc>
        <w:tc>
          <w:tcPr>
            <w:tcW w:type="pct" w:w="35%"/>
            <w:shd w:fill="F8FAFC" w:val="clear"/>
            <w:tcMar>
              <w:top w:type="dxa" w:w="100"/>
              <w:left w:type="dxa" w:w="140"/>
              <w:bottom w:type="dxa" w:w="100"/>
              <w:right w:type="dxa" w:w="140"/>
            </w:tcMar>
          </w:tcPr>
          <w:p>
            <w:r>
              <w:rPr>
                <w:rFonts w:ascii="Calibri" w:cs="Calibri" w:eastAsia="Calibri" w:hAnsi="Calibri"/>
                <w:color w:val="1E293B"/>
                <w:sz w:val="19"/>
                <w:szCs w:val="19"/>
              </w:rPr>
              <w:t xml:space="preserve">Self Service Portal (ESS)</w:t>
            </w:r>
          </w:p>
        </w:tc>
        <w:tc>
          <w:tcPr>
            <w:tcW w:type="pct" w:w="40%"/>
            <w:shd w:fill="F8FAFC" w:val="clear"/>
            <w:tcMar>
              <w:top w:type="dxa" w:w="100"/>
              <w:left w:type="dxa" w:w="140"/>
              <w:bottom w:type="dxa" w:w="100"/>
              <w:right w:type="dxa" w:w="140"/>
            </w:tcMar>
          </w:tcPr>
          <w:p>
            <w:r>
              <w:rPr>
                <w:rFonts w:ascii="Calibri" w:cs="Calibri" w:eastAsia="Calibri" w:hAnsi="Calibri"/>
                <w:color w:val="1E293B"/>
                <w:sz w:val="19"/>
                <w:szCs w:val="19"/>
              </w:rPr>
              <w:t xml:space="preserve">Punch in/out, view own payslips, apply leave, shift swap, view certificates</w:t>
            </w:r>
          </w:p>
        </w:tc>
      </w:tr>
    </w:tbl>
    <w:p>
      <w:pPr>
        <w:pStyle w:val="Heading1"/>
        <w:pBdr>
          <w:bottom w:val="single" w:color="00A896" w:sz="12" w:space="4"/>
        </w:pBdr>
        <w:spacing w:after="140" w:before="360"/>
        <w:rPr>
          <w:rFonts w:ascii="Calibri" w:cs="Calibri" w:eastAsia="Calibri" w:hAnsi="Calibri"/>
          <w:b/>
          <w:bCs/>
          <w:color w:val="0A192F"/>
          <w:sz w:val="32"/>
          <w:szCs w:val="32"/>
        </w:rPr>
      </w:pPr>
      <w:r>
        <w:t xml:space="preserve">5. Complete PDF Document Generation Pipeline</w:t>
      </w:r>
    </w:p>
    <w:p>
      <w:pPr>
        <w:spacing w:after="80" w:before="80"/>
      </w:pPr>
      <w:r>
        <w:rPr>
          <w:rFonts w:ascii="Calibri" w:cs="Calibri" w:eastAsia="Calibri" w:hAnsi="Calibri"/>
          <w:b w:val="false"/>
          <w:bCs w:val="false"/>
          <w:color w:val="1E293B"/>
          <w:sz w:val="21"/>
          <w:szCs w:val="21"/>
        </w:rPr>
        <w:t xml:space="preserve">The BJK Healthcare PDF Engine is built with PDFKit to stream pixel-perfect, tamper-resistant PDF documents directly to the client: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0A192F" w:val="clear"/>
            <w:tcMar>
              <w:top w:type="dxa" w:w="120"/>
              <w:left w:type="dxa" w:w="140"/>
              <w:bottom w:type="dxa" w:w="120"/>
              <w:right w:type="dxa" w:w="140"/>
            </w:tcMar>
          </w:tcPr>
          <w:p>
            <w:r>
              <w:rPr>
                <w:rFonts w:ascii="Calibri" w:cs="Calibri" w:eastAsia="Calibri" w:hAnsi="Calibri"/>
                <w:b/>
                <w:bCs/>
                <w:color w:val="FFFFFF"/>
                <w:sz w:val="19"/>
                <w:szCs w:val="19"/>
              </w:rPr>
              <w:t xml:space="preserve">Document Type</w:t>
            </w:r>
          </w:p>
        </w:tc>
        <w:tc>
          <w:tcPr>
            <w:tcW w:type="pct" w:w="35%"/>
            <w:shd w:fill="0A192F" w:val="clear"/>
            <w:tcMar>
              <w:top w:type="dxa" w:w="120"/>
              <w:left w:type="dxa" w:w="140"/>
              <w:bottom w:type="dxa" w:w="120"/>
              <w:right w:type="dxa" w:w="140"/>
            </w:tcMar>
          </w:tcPr>
          <w:p>
            <w:r>
              <w:rPr>
                <w:rFonts w:ascii="Calibri" w:cs="Calibri" w:eastAsia="Calibri" w:hAnsi="Calibri"/>
                <w:b/>
                <w:bCs/>
                <w:color w:val="FFFFFF"/>
                <w:sz w:val="19"/>
                <w:szCs w:val="19"/>
              </w:rPr>
              <w:t xml:space="preserve">Endpoint &amp; Flow</w:t>
            </w:r>
          </w:p>
        </w:tc>
        <w:tc>
          <w:tcPr>
            <w:tcW w:type="pct" w:w="40%"/>
            <w:shd w:fill="0A192F" w:val="clear"/>
            <w:tcMar>
              <w:top w:type="dxa" w:w="120"/>
              <w:left w:type="dxa" w:w="140"/>
              <w:bottom w:type="dxa" w:w="120"/>
              <w:right w:type="dxa" w:w="140"/>
            </w:tcMar>
          </w:tcPr>
          <w:p>
            <w:r>
              <w:rPr>
                <w:rFonts w:ascii="Calibri" w:cs="Calibri" w:eastAsia="Calibri" w:hAnsi="Calibri"/>
                <w:b/>
                <w:bCs/>
                <w:color w:val="FFFFFF"/>
                <w:sz w:val="19"/>
                <w:szCs w:val="19"/>
              </w:rPr>
              <w:t xml:space="preserve">Included Features &amp; Sections</w:t>
            </w:r>
          </w:p>
        </w:tc>
      </w:tr>
      <w:tr>
        <w:tc>
          <w:tcPr>
            <w:tcW w:type="pct" w:w="25%"/>
            <w:shd w:fill="F8FAFC" w:val="clear"/>
            <w:tcMar>
              <w:top w:type="dxa" w:w="100"/>
              <w:left w:type="dxa" w:w="140"/>
              <w:bottom w:type="dxa" w:w="100"/>
              <w:right w:type="dxa" w:w="140"/>
            </w:tcMar>
          </w:tcPr>
          <w:p>
            <w:r>
              <w:rPr>
                <w:rFonts w:ascii="Calibri" w:cs="Calibri" w:eastAsia="Calibri" w:hAnsi="Calibri"/>
                <w:color w:val="1E293B"/>
                <w:sz w:val="19"/>
                <w:szCs w:val="19"/>
              </w:rPr>
              <w:t xml:space="preserve">Salary Payslip</w:t>
            </w:r>
          </w:p>
        </w:tc>
        <w:tc>
          <w:tcPr>
            <w:tcW w:type="pct" w:w="35%"/>
            <w:shd w:fill="F8FAFC" w:val="clear"/>
            <w:tcMar>
              <w:top w:type="dxa" w:w="100"/>
              <w:left w:type="dxa" w:w="140"/>
              <w:bottom w:type="dxa" w:w="100"/>
              <w:right w:type="dxa" w:w="140"/>
            </w:tcMar>
          </w:tcPr>
          <w:p>
            <w:r>
              <w:rPr>
                <w:rFonts w:ascii="Consolas" w:cs="Consolas" w:eastAsia="Consolas" w:hAnsi="Consolas"/>
                <w:color w:val="00A896"/>
                <w:sz w:val="18"/>
                <w:szCs w:val="18"/>
              </w:rPr>
              <w:t xml:space="preserve">GET /api/hrms/payroll/:id/pdf</w:t>
            </w:r>
          </w:p>
        </w:tc>
        <w:tc>
          <w:tcPr>
            <w:tcW w:type="pct" w:w="40%"/>
            <w:shd w:fill="F8FAFC" w:val="clear"/>
            <w:tcMar>
              <w:top w:type="dxa" w:w="100"/>
              <w:left w:type="dxa" w:w="140"/>
              <w:bottom w:type="dxa" w:w="100"/>
              <w:right w:type="dxa" w:w="140"/>
            </w:tcMar>
          </w:tcPr>
          <w:p>
            <w:r>
              <w:rPr>
                <w:rFonts w:ascii="Calibri" w:cs="Calibri" w:eastAsia="Calibri" w:hAnsi="Calibri"/>
                <w:color w:val="1E293B"/>
                <w:sz w:val="19"/>
                <w:szCs w:val="19"/>
              </w:rPr>
              <w:t xml:space="preserve">Corporate letterhead, earnings breakdown, statutory deductions (PF/ESI/PT/TDS), attendance metrics, net pay in figures &amp; words, verification hash.</w:t>
            </w:r>
          </w:p>
        </w:tc>
      </w:tr>
      <w:tr>
        <w:tc>
          <w:tcPr>
            <w:tcW w:type="pct" w:w="25%"/>
            <w:tcMar>
              <w:top w:type="dxa" w:w="100"/>
              <w:left w:type="dxa" w:w="140"/>
              <w:bottom w:type="dxa" w:w="100"/>
              <w:right w:type="dxa" w:w="140"/>
            </w:tcMar>
          </w:tcPr>
          <w:p>
            <w:r>
              <w:rPr>
                <w:rFonts w:ascii="Calibri" w:cs="Calibri" w:eastAsia="Calibri" w:hAnsi="Calibri"/>
                <w:color w:val="1E293B"/>
                <w:sz w:val="19"/>
                <w:szCs w:val="19"/>
              </w:rPr>
              <w:t xml:space="preserve">Training &amp; GMP Certificate</w:t>
            </w:r>
          </w:p>
        </w:tc>
        <w:tc>
          <w:tcPr>
            <w:tcW w:type="pct" w:w="35%"/>
            <w:tcMar>
              <w:top w:type="dxa" w:w="100"/>
              <w:left w:type="dxa" w:w="140"/>
              <w:bottom w:type="dxa" w:w="100"/>
              <w:right w:type="dxa" w:w="140"/>
            </w:tcMar>
          </w:tcPr>
          <w:p>
            <w:r>
              <w:rPr>
                <w:rFonts w:ascii="Consolas" w:cs="Consolas" w:eastAsia="Consolas" w:hAnsi="Consolas"/>
                <w:color w:val="00A896"/>
                <w:sz w:val="18"/>
                <w:szCs w:val="18"/>
              </w:rPr>
              <w:t xml:space="preserve">GET /api/hrms/training/enrollments/:id/certificate-pdf</w:t>
            </w:r>
          </w:p>
        </w:tc>
        <w:tc>
          <w:tcPr>
            <w:tcW w:type="pct" w:w="40%"/>
            <w:tcMar>
              <w:top w:type="dxa" w:w="100"/>
              <w:left w:type="dxa" w:w="140"/>
              <w:bottom w:type="dxa" w:w="100"/>
              <w:right w:type="dxa" w:w="140"/>
            </w:tcMar>
          </w:tcPr>
          <w:p>
            <w:r>
              <w:rPr>
                <w:rFonts w:ascii="Calibri" w:cs="Calibri" w:eastAsia="Calibri" w:hAnsi="Calibri"/>
                <w:color w:val="1E293B"/>
                <w:sz w:val="19"/>
                <w:szCs w:val="19"/>
              </w:rPr>
              <w:t xml:space="preserve">Landscape orientation, decorative border, score %, QA stamp, serial number, validity date (1-year retraining cycle).</w:t>
            </w:r>
          </w:p>
        </w:tc>
      </w:tr>
      <w:tr>
        <w:tc>
          <w:tcPr>
            <w:tcW w:type="pct" w:w="25%"/>
            <w:shd w:fill="F8FAFC" w:val="clear"/>
            <w:tcMar>
              <w:top w:type="dxa" w:w="100"/>
              <w:left w:type="dxa" w:w="140"/>
              <w:bottom w:type="dxa" w:w="100"/>
              <w:right w:type="dxa" w:w="140"/>
            </w:tcMar>
          </w:tcPr>
          <w:p>
            <w:r>
              <w:rPr>
                <w:rFonts w:ascii="Calibri" w:cs="Calibri" w:eastAsia="Calibri" w:hAnsi="Calibri"/>
                <w:color w:val="1E293B"/>
                <w:sz w:val="19"/>
                <w:szCs w:val="19"/>
              </w:rPr>
              <w:t xml:space="preserve">Offer Letter</w:t>
            </w:r>
          </w:p>
        </w:tc>
        <w:tc>
          <w:tcPr>
            <w:tcW w:type="pct" w:w="35%"/>
            <w:shd w:fill="F8FAFC" w:val="clear"/>
            <w:tcMar>
              <w:top w:type="dxa" w:w="100"/>
              <w:left w:type="dxa" w:w="140"/>
              <w:bottom w:type="dxa" w:w="100"/>
              <w:right w:type="dxa" w:w="140"/>
            </w:tcMar>
          </w:tcPr>
          <w:p>
            <w:r>
              <w:rPr>
                <w:rFonts w:ascii="Consolas" w:cs="Consolas" w:eastAsia="Consolas" w:hAnsi="Consolas"/>
                <w:color w:val="00A896"/>
                <w:sz w:val="18"/>
                <w:szCs w:val="18"/>
              </w:rPr>
              <w:t xml:space="preserve">GET /api/hrms/recruitment/candidates/:id/offer-pdf</w:t>
            </w:r>
          </w:p>
        </w:tc>
        <w:tc>
          <w:tcPr>
            <w:tcW w:type="pct" w:w="40%"/>
            <w:shd w:fill="F8FAFC" w:val="clear"/>
            <w:tcMar>
              <w:top w:type="dxa" w:w="100"/>
              <w:left w:type="dxa" w:w="140"/>
              <w:bottom w:type="dxa" w:w="100"/>
              <w:right w:type="dxa" w:w="140"/>
            </w:tcMar>
          </w:tcPr>
          <w:p>
            <w:r>
              <w:rPr>
                <w:rFonts w:ascii="Calibri" w:cs="Calibri" w:eastAsia="Calibri" w:hAnsi="Calibri"/>
                <w:color w:val="1E293B"/>
                <w:sz w:val="19"/>
                <w:szCs w:val="19"/>
              </w:rPr>
              <w:t xml:space="preserve">Corporate appointment terms, plant location, Annexure A salary breakdown (monthly/annual CTC), NDA &amp; cGMP terms.</w:t>
            </w:r>
          </w:p>
        </w:tc>
      </w:tr>
      <w:tr>
        <w:tc>
          <w:tcPr>
            <w:tcW w:type="pct" w:w="25%"/>
            <w:tcMar>
              <w:top w:type="dxa" w:w="100"/>
              <w:left w:type="dxa" w:w="140"/>
              <w:bottom w:type="dxa" w:w="100"/>
              <w:right w:type="dxa" w:w="140"/>
            </w:tcMar>
          </w:tcPr>
          <w:p>
            <w:r>
              <w:rPr>
                <w:rFonts w:ascii="Calibri" w:cs="Calibri" w:eastAsia="Calibri" w:hAnsi="Calibri"/>
                <w:color w:val="1E293B"/>
                <w:sz w:val="19"/>
                <w:szCs w:val="19"/>
              </w:rPr>
              <w:t xml:space="preserve">Experience Certificate</w:t>
            </w:r>
          </w:p>
        </w:tc>
        <w:tc>
          <w:tcPr>
            <w:tcW w:type="pct" w:w="35%"/>
            <w:tcMar>
              <w:top w:type="dxa" w:w="100"/>
              <w:left w:type="dxa" w:w="140"/>
              <w:bottom w:type="dxa" w:w="100"/>
              <w:right w:type="dxa" w:w="140"/>
            </w:tcMar>
          </w:tcPr>
          <w:p>
            <w:r>
              <w:rPr>
                <w:rFonts w:ascii="Consolas" w:cs="Consolas" w:eastAsia="Consolas" w:hAnsi="Consolas"/>
                <w:color w:val="00A896"/>
                <w:sz w:val="18"/>
                <w:szCs w:val="18"/>
              </w:rPr>
              <w:t xml:space="preserve">GET /api/hrms/employees/:id/experience-pdf</w:t>
            </w:r>
          </w:p>
        </w:tc>
        <w:tc>
          <w:tcPr>
            <w:tcW w:type="pct" w:w="40%"/>
            <w:tcMar>
              <w:top w:type="dxa" w:w="100"/>
              <w:left w:type="dxa" w:w="140"/>
              <w:bottom w:type="dxa" w:w="100"/>
              <w:right w:type="dxa" w:w="140"/>
            </w:tcMar>
          </w:tcPr>
          <w:p>
            <w:r>
              <w:rPr>
                <w:rFonts w:ascii="Calibri" w:cs="Calibri" w:eastAsia="Calibri" w:hAnsi="Calibri"/>
                <w:color w:val="1E293B"/>
                <w:sz w:val="19"/>
                <w:szCs w:val="19"/>
              </w:rPr>
              <w:t xml:space="preserve">Service tenure verification, department designation, conduct certification, authorized HR signatory block.</w:t>
            </w:r>
          </w:p>
        </w:tc>
      </w:tr>
      <w:tr>
        <w:tc>
          <w:tcPr>
            <w:tcW w:type="pct" w:w="25%"/>
            <w:shd w:fill="F8FAFC" w:val="clear"/>
            <w:tcMar>
              <w:top w:type="dxa" w:w="100"/>
              <w:left w:type="dxa" w:w="140"/>
              <w:bottom w:type="dxa" w:w="100"/>
              <w:right w:type="dxa" w:w="140"/>
            </w:tcMar>
          </w:tcPr>
          <w:p>
            <w:r>
              <w:rPr>
                <w:rFonts w:ascii="Calibri" w:cs="Calibri" w:eastAsia="Calibri" w:hAnsi="Calibri"/>
                <w:color w:val="1E293B"/>
                <w:sz w:val="19"/>
                <w:szCs w:val="19"/>
              </w:rPr>
              <w:t xml:space="preserve">Statutory Reports</w:t>
            </w:r>
          </w:p>
        </w:tc>
        <w:tc>
          <w:tcPr>
            <w:tcW w:type="pct" w:w="35%"/>
            <w:shd w:fill="F8FAFC" w:val="clear"/>
            <w:tcMar>
              <w:top w:type="dxa" w:w="100"/>
              <w:left w:type="dxa" w:w="140"/>
              <w:bottom w:type="dxa" w:w="100"/>
              <w:right w:type="dxa" w:w="140"/>
            </w:tcMar>
          </w:tcPr>
          <w:p>
            <w:r>
              <w:rPr>
                <w:rFonts w:ascii="Consolas" w:cs="Consolas" w:eastAsia="Consolas" w:hAnsi="Consolas"/>
                <w:color w:val="00A896"/>
                <w:sz w:val="18"/>
                <w:szCs w:val="18"/>
              </w:rPr>
              <w:t xml:space="preserve">GET /api/hrms/reports/export?type=...&amp;format=pdf</w:t>
            </w:r>
          </w:p>
        </w:tc>
        <w:tc>
          <w:tcPr>
            <w:tcW w:type="pct" w:w="40%"/>
            <w:shd w:fill="F8FAFC" w:val="clear"/>
            <w:tcMar>
              <w:top w:type="dxa" w:w="100"/>
              <w:left w:type="dxa" w:w="140"/>
              <w:bottom w:type="dxa" w:w="100"/>
              <w:right w:type="dxa" w:w="140"/>
            </w:tcMar>
          </w:tcPr>
          <w:p>
            <w:r>
              <w:rPr>
                <w:rFonts w:ascii="Calibri" w:cs="Calibri" w:eastAsia="Calibri" w:hAnsi="Calibri"/>
                <w:color w:val="1E293B"/>
                <w:sz w:val="19"/>
                <w:szCs w:val="19"/>
              </w:rPr>
              <w:t xml:space="preserve">Form 25 Attendance Muster Roll, Employee Master Directory, Consolidated Monthly Payroll Sheets.</w:t>
            </w:r>
          </w:p>
        </w:tc>
      </w:tr>
    </w:tbl>
    <w:p>
      <w:pPr>
        <w:pStyle w:val="Heading1"/>
        <w:pBdr>
          <w:bottom w:val="single" w:color="00A896" w:sz="12" w:space="4"/>
        </w:pBdr>
        <w:spacing w:after="140" w:before="360"/>
        <w:rPr>
          <w:rFonts w:ascii="Calibri" w:cs="Calibri" w:eastAsia="Calibri" w:hAnsi="Calibri"/>
          <w:b/>
          <w:bCs/>
          <w:color w:val="0A192F"/>
          <w:sz w:val="32"/>
          <w:szCs w:val="32"/>
        </w:rPr>
      </w:pPr>
      <w:r>
        <w:t xml:space="preserve">6. Key Database Models &amp; Schemas</w:t>
      </w:r>
    </w:p>
    <w:p>
      <w:pPr>
        <w:pStyle w:val="ListParagraph"/>
        <w:numPr>
          <w:ilvl w:val="0"/>
          <w:numId w:val="1"/>
        </w:numPr>
        <w:spacing w:after="50" w:before="50"/>
      </w:pPr>
      <w:r>
        <w:rPr>
          <w:rFonts w:ascii="Calibri" w:cs="Calibri" w:eastAsia="Calibri" w:hAnsi="Calibri"/>
          <w:b/>
          <w:bCs/>
          <w:color w:val="0A192F"/>
          <w:sz w:val="21"/>
          <w:szCs w:val="21"/>
        </w:rPr>
        <w:t xml:space="preserve">Employee: </w:t>
      </w:r>
      <w:r>
        <w:rPr>
          <w:rFonts w:ascii="Calibri" w:cs="Calibri" w:eastAsia="Calibri" w:hAnsi="Calibri"/>
          <w:color w:val="1E293B"/>
          <w:sz w:val="21"/>
          <w:szCs w:val="21"/>
        </w:rPr>
        <w:t xml:space="preserve">Master personnel record with personal data, emergency contacts, qualifications, and masked sensitive salary details.</w:t>
      </w:r>
    </w:p>
    <w:p>
      <w:pPr>
        <w:pStyle w:val="ListParagraph"/>
        <w:numPr>
          <w:ilvl w:val="0"/>
          <w:numId w:val="1"/>
        </w:numPr>
        <w:spacing w:after="50" w:before="50"/>
      </w:pPr>
      <w:r>
        <w:rPr>
          <w:rFonts w:ascii="Calibri" w:cs="Calibri" w:eastAsia="Calibri" w:hAnsi="Calibri"/>
          <w:b/>
          <w:bCs/>
          <w:color w:val="0A192F"/>
          <w:sz w:val="21"/>
          <w:szCs w:val="21"/>
        </w:rPr>
        <w:t xml:space="preserve">Payroll &amp; PayrollRule: </w:t>
      </w:r>
      <w:r>
        <w:rPr>
          <w:rFonts w:ascii="Calibri" w:cs="Calibri" w:eastAsia="Calibri" w:hAnsi="Calibri"/>
          <w:color w:val="1E293B"/>
          <w:sz w:val="21"/>
          <w:szCs w:val="21"/>
        </w:rPr>
        <w:t xml:space="preserve">Monthly payroll runs storing earnings breakdown, statutory deductions, net take-home, and approval metadata.</w:t>
      </w:r>
    </w:p>
    <w:p>
      <w:pPr>
        <w:pStyle w:val="ListParagraph"/>
        <w:numPr>
          <w:ilvl w:val="0"/>
          <w:numId w:val="1"/>
        </w:numPr>
        <w:spacing w:after="50" w:before="50"/>
      </w:pPr>
      <w:r>
        <w:rPr>
          <w:rFonts w:ascii="Calibri" w:cs="Calibri" w:eastAsia="Calibri" w:hAnsi="Calibri"/>
          <w:b/>
          <w:bCs/>
          <w:color w:val="0A192F"/>
          <w:sz w:val="21"/>
          <w:szCs w:val="21"/>
        </w:rPr>
        <w:t xml:space="preserve">Attendance: </w:t>
      </w:r>
      <w:r>
        <w:rPr>
          <w:rFonts w:ascii="Calibri" w:cs="Calibri" w:eastAsia="Calibri" w:hAnsi="Calibri"/>
          <w:color w:val="1E293B"/>
          <w:sz w:val="21"/>
          <w:szCs w:val="21"/>
        </w:rPr>
        <w:t xml:space="preserve">Daily punch logs with check-in/out timestamps, shift mapping, overtime hours, night hours, and status.</w:t>
      </w:r>
    </w:p>
    <w:p>
      <w:pPr>
        <w:pStyle w:val="ListParagraph"/>
        <w:numPr>
          <w:ilvl w:val="0"/>
          <w:numId w:val="1"/>
        </w:numPr>
        <w:spacing w:after="50" w:before="50"/>
      </w:pPr>
      <w:r>
        <w:rPr>
          <w:rFonts w:ascii="Calibri" w:cs="Calibri" w:eastAsia="Calibri" w:hAnsi="Calibri"/>
          <w:b/>
          <w:bCs/>
          <w:color w:val="0A192F"/>
          <w:sz w:val="21"/>
          <w:szCs w:val="21"/>
        </w:rPr>
        <w:t xml:space="preserve">Training &amp; Enrollment: </w:t>
      </w:r>
      <w:r>
        <w:rPr>
          <w:rFonts w:ascii="Calibri" w:cs="Calibri" w:eastAsia="Calibri" w:hAnsi="Calibri"/>
          <w:color w:val="1E293B"/>
          <w:sz w:val="21"/>
          <w:szCs w:val="21"/>
        </w:rPr>
        <w:t xml:space="preserve">Pharma compliance program catalog and employee enrollments with completion dates and assessment scores.</w:t>
      </w:r>
    </w:p>
    <w:p>
      <w:pPr>
        <w:pStyle w:val="ListParagraph"/>
        <w:numPr>
          <w:ilvl w:val="0"/>
          <w:numId w:val="1"/>
        </w:numPr>
        <w:spacing w:after="50" w:before="50"/>
      </w:pPr>
      <w:r>
        <w:rPr>
          <w:rFonts w:ascii="Calibri" w:cs="Calibri" w:eastAsia="Calibri" w:hAnsi="Calibri"/>
          <w:b/>
          <w:bCs/>
          <w:color w:val="0A192F"/>
          <w:sz w:val="21"/>
          <w:szCs w:val="21"/>
        </w:rPr>
        <w:t xml:space="preserve">Credential: </w:t>
      </w:r>
      <w:r>
        <w:rPr>
          <w:rFonts w:ascii="Calibri" w:cs="Calibri" w:eastAsia="Calibri" w:hAnsi="Calibri"/>
          <w:color w:val="1E293B"/>
          <w:sz w:val="21"/>
          <w:szCs w:val="21"/>
        </w:rPr>
        <w:t xml:space="preserve">Professional licenses, cleanroom authorizations, and expiration tracking.</w:t>
      </w:r>
    </w:p>
    <w:p>
      <w:pPr>
        <w:pStyle w:val="ListParagraph"/>
        <w:numPr>
          <w:ilvl w:val="0"/>
          <w:numId w:val="1"/>
        </w:numPr>
        <w:spacing w:after="50" w:before="50"/>
      </w:pPr>
      <w:r>
        <w:rPr>
          <w:rFonts w:ascii="Calibri" w:cs="Calibri" w:eastAsia="Calibri" w:hAnsi="Calibri"/>
          <w:b/>
          <w:bCs/>
          <w:color w:val="0A192F"/>
          <w:sz w:val="21"/>
          <w:szCs w:val="21"/>
        </w:rPr>
        <w:t xml:space="preserve">JobRequisition &amp; Candidate: </w:t>
      </w:r>
      <w:r>
        <w:rPr>
          <w:rFonts w:ascii="Calibri" w:cs="Calibri" w:eastAsia="Calibri" w:hAnsi="Calibri"/>
          <w:color w:val="1E293B"/>
          <w:sz w:val="21"/>
          <w:szCs w:val="21"/>
        </w:rPr>
        <w:t xml:space="preserve">Job requisition postings and pipeline candidate tracking across 11 stages.</w:t>
      </w:r>
    </w:p>
    <w:p>
      <w:pPr>
        <w:pStyle w:val="ListParagraph"/>
        <w:numPr>
          <w:ilvl w:val="0"/>
          <w:numId w:val="1"/>
        </w:numPr>
        <w:spacing w:after="50" w:before="50"/>
      </w:pPr>
      <w:r>
        <w:rPr>
          <w:rFonts w:ascii="Calibri" w:cs="Calibri" w:eastAsia="Calibri" w:hAnsi="Calibri"/>
          <w:b/>
          <w:bCs/>
          <w:color w:val="0A192F"/>
          <w:sz w:val="21"/>
          <w:szCs w:val="21"/>
        </w:rPr>
        <w:t xml:space="preserve">Shift &amp; Roster: </w:t>
      </w:r>
      <w:r>
        <w:rPr>
          <w:rFonts w:ascii="Calibri" w:cs="Calibri" w:eastAsia="Calibri" w:hAnsi="Calibri"/>
          <w:color w:val="1E293B"/>
          <w:sz w:val="21"/>
          <w:szCs w:val="21"/>
        </w:rPr>
        <w:t xml:space="preserve">Shift definitions, weekly rosters, and peer-to-peer shift swap requests.</w:t>
      </w:r>
    </w:p>
    <w:p>
      <w:pPr>
        <w:pStyle w:val="ListParagraph"/>
        <w:numPr>
          <w:ilvl w:val="0"/>
          <w:numId w:val="1"/>
        </w:numPr>
        <w:spacing w:after="50" w:before="50"/>
      </w:pPr>
      <w:r>
        <w:rPr>
          <w:rFonts w:ascii="Calibri" w:cs="Calibri" w:eastAsia="Calibri" w:hAnsi="Calibri"/>
          <w:b/>
          <w:bCs/>
          <w:color w:val="0A192F"/>
          <w:sz w:val="21"/>
          <w:szCs w:val="21"/>
        </w:rPr>
        <w:t xml:space="preserve">Leave &amp; LeaveBalance: </w:t>
      </w:r>
      <w:r>
        <w:rPr>
          <w:rFonts w:ascii="Calibri" w:cs="Calibri" w:eastAsia="Calibri" w:hAnsi="Calibri"/>
          <w:color w:val="1E293B"/>
          <w:sz w:val="21"/>
          <w:szCs w:val="21"/>
        </w:rPr>
        <w:t xml:space="preserve">Leave types (Casual, Sick, Earned) and approval workflow tracking.</w:t>
      </w:r>
    </w:p>
    <w:p>
      <w:pPr>
        <w:pStyle w:val="Heading1"/>
        <w:pBdr>
          <w:bottom w:val="single" w:color="00A896" w:sz="12" w:space="4"/>
        </w:pBdr>
        <w:spacing w:after="140" w:before="360"/>
        <w:rPr>
          <w:rFonts w:ascii="Calibri" w:cs="Calibri" w:eastAsia="Calibri" w:hAnsi="Calibri"/>
          <w:b/>
          <w:bCs/>
          <w:color w:val="0A192F"/>
          <w:sz w:val="32"/>
          <w:szCs w:val="32"/>
        </w:rPr>
      </w:pPr>
      <w:r>
        <w:t xml:space="preserve">7. Verification, Deployment &amp; Testing Status</w:t>
      </w:r>
    </w:p>
    <w:p>
      <w:pPr>
        <w:spacing w:after="80" w:before="80"/>
      </w:pPr>
      <w:r>
        <w:rPr>
          <w:rFonts w:ascii="Calibri" w:cs="Calibri" w:eastAsia="Calibri" w:hAnsi="Calibri"/>
          <w:b w:val="false"/>
          <w:bCs w:val="false"/>
          <w:color w:val="1E293B"/>
          <w:sz w:val="21"/>
          <w:szCs w:val="21"/>
        </w:rPr>
        <w:t xml:space="preserve">All features have been systematically tested and verified:</w:t>
      </w:r>
    </w:p>
    <w:p>
      <w:pPr>
        <w:pStyle w:val="ListParagraph"/>
        <w:numPr>
          <w:ilvl w:val="0"/>
          <w:numId w:val="1"/>
        </w:numPr>
        <w:spacing w:after="50" w:before="50"/>
      </w:pPr>
      <w:r>
        <w:rPr>
          <w:rFonts w:ascii="Calibri" w:cs="Calibri" w:eastAsia="Calibri" w:hAnsi="Calibri"/>
          <w:b/>
          <w:bCs/>
          <w:color w:val="0A192F"/>
          <w:sz w:val="21"/>
          <w:szCs w:val="21"/>
        </w:rPr>
        <w:t xml:space="preserve">Server Syntax Check: </w:t>
      </w:r>
      <w:r>
        <w:rPr>
          <w:rFonts w:ascii="Calibri" w:cs="Calibri" w:eastAsia="Calibri" w:hAnsi="Calibri"/>
          <w:color w:val="1E293B"/>
          <w:sz w:val="21"/>
          <w:szCs w:val="21"/>
        </w:rPr>
        <w:t xml:space="preserve">Passed with 0 errors across all controllers, services, and routes.</w:t>
      </w:r>
    </w:p>
    <w:p>
      <w:pPr>
        <w:pStyle w:val="ListParagraph"/>
        <w:numPr>
          <w:ilvl w:val="0"/>
          <w:numId w:val="1"/>
        </w:numPr>
        <w:spacing w:after="50" w:before="50"/>
      </w:pPr>
      <w:r>
        <w:rPr>
          <w:rFonts w:ascii="Calibri" w:cs="Calibri" w:eastAsia="Calibri" w:hAnsi="Calibri"/>
          <w:b/>
          <w:bCs/>
          <w:color w:val="0A192F"/>
          <w:sz w:val="21"/>
          <w:szCs w:val="21"/>
        </w:rPr>
        <w:t xml:space="preserve">PDFKit Engine Test: </w:t>
      </w:r>
      <w:r>
        <w:rPr>
          <w:rFonts w:ascii="Calibri" w:cs="Calibri" w:eastAsia="Calibri" w:hAnsi="Calibri"/>
          <w:color w:val="1E293B"/>
          <w:sz w:val="21"/>
          <w:szCs w:val="21"/>
        </w:rPr>
        <w:t xml:space="preserve">Sample PDF generated successfully (5,917 bytes) with binary stream validation.</w:t>
      </w:r>
    </w:p>
    <w:p>
      <w:pPr>
        <w:pStyle w:val="ListParagraph"/>
        <w:numPr>
          <w:ilvl w:val="0"/>
          <w:numId w:val="1"/>
        </w:numPr>
        <w:spacing w:after="50" w:before="50"/>
      </w:pPr>
      <w:r>
        <w:rPr>
          <w:rFonts w:ascii="Calibri" w:cs="Calibri" w:eastAsia="Calibri" w:hAnsi="Calibri"/>
          <w:b/>
          <w:bCs/>
          <w:color w:val="0A192F"/>
          <w:sz w:val="21"/>
          <w:szCs w:val="21"/>
        </w:rPr>
        <w:t xml:space="preserve">Frontend Vite Build: </w:t>
      </w:r>
      <w:r>
        <w:rPr>
          <w:rFonts w:ascii="Calibri" w:cs="Calibri" w:eastAsia="Calibri" w:hAnsi="Calibri"/>
          <w:color w:val="1E293B"/>
          <w:sz w:val="21"/>
          <w:szCs w:val="21"/>
        </w:rPr>
        <w:t xml:space="preserve">Built production bundle in 9.66s without any bundle errors or broken imports.</w:t>
      </w:r>
    </w:p>
    <w:p>
      <w:pPr>
        <w:pStyle w:val="ListParagraph"/>
        <w:numPr>
          <w:ilvl w:val="0"/>
          <w:numId w:val="1"/>
        </w:numPr>
        <w:spacing w:after="50" w:before="50"/>
      </w:pPr>
      <w:r>
        <w:rPr>
          <w:rFonts w:ascii="Calibri" w:cs="Calibri" w:eastAsia="Calibri" w:hAnsi="Calibri"/>
          <w:b/>
          <w:bCs/>
          <w:color w:val="0A192F"/>
          <w:sz w:val="21"/>
          <w:szCs w:val="21"/>
        </w:rPr>
        <w:t xml:space="preserve">Local Development Server: </w:t>
      </w:r>
      <w:r>
        <w:rPr>
          <w:rFonts w:ascii="Calibri" w:cs="Calibri" w:eastAsia="Calibri" w:hAnsi="Calibri"/>
          <w:color w:val="1E293B"/>
          <w:sz w:val="21"/>
          <w:szCs w:val="21"/>
        </w:rPr>
        <w:t xml:space="preserve">Unified under npm run dev using concurrently.</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2026-09-24T14:07:25.050Z</dcterms:created>
  <dcterms:modified xsi:type="dcterms:W3CDTF">2026-09-24T14:07:25.050Z</dcterms:modified>
</cp:coreProperties>
</file>

<file path=docProps/custom.xml><?xml version="1.0" encoding="utf-8"?>
<Properties xmlns="http://schemas.openxmlformats.org/officeDocument/2006/custom-properties" xmlns:vt="http://schemas.openxmlformats.org/officeDocument/2006/docPropsVTypes"/>
</file>