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Naskah Narasi Video (Durasi ±1 Menit)</w:t>
      </w:r>
    </w:p>
    <w:p>
      <w:r>
        <w:br/>
        <w:t xml:space="preserve">Di sebuah ruang kelas tua yang sunyi, cahaya senja menyelinap masuk melalui celah jendela. </w:t>
        <w:br/>
        <w:t>Garis-garis sinarnya jatuh lembut di wajah seorang perempuan yang duduk sendiri, seakan waktu berjalan lebih lambat dari biasanya.</w:t>
        <w:br/>
        <w:br/>
        <w:t xml:space="preserve">Ia bersandar tenang di kursinya, kakinya bertumpu santai di atas meja kayu yang telah menyimpan begitu banyak cerita. </w:t>
        <w:br/>
        <w:t>Tatapannya jauh, bukan kosong—melainkan penuh pikiran yang tak terucap.</w:t>
        <w:br/>
        <w:br/>
        <w:t xml:space="preserve">Dalam keheningan itu, ada keberanian untuk bermimpi. </w:t>
        <w:br/>
        <w:t>Ada ketenangan yang lahir dari menerima diri sendiri, apa adanya.</w:t>
        <w:br/>
        <w:br/>
        <w:t xml:space="preserve">Ruang kelas ini mungkin tampak usang, namun di sinilah kenangan, harapan, dan masa depan bertemu. </w:t>
        <w:br/>
        <w:t>Dan di antara cahaya keemasan yang hangat, ia belajar bahwa setiap perjalanan besar selalu dimulai dari momen-momen sunyi seperti ini.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