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560"/>
        <w:jc w:val="center"/>
      </w:pPr>
      <w:r>
        <w:rPr>
          <w:rFonts w:ascii="Arial" w:cs="Arial" w:eastAsia="Arial" w:hAnsi="Arial"/>
          <w:b/>
          <w:bCs/>
          <w:color w:val="1A1A2E"/>
          <w:sz w:val="56"/>
          <w:szCs w:val="56"/>
        </w:rPr>
        <w:t xml:space="preserve">US Financial Services</w:t>
      </w:r>
    </w:p>
    <w:p>
      <w:pPr>
        <w:spacing w:after="100" w:before="0"/>
        <w:jc w:val="center"/>
      </w:pPr>
      <w:r>
        <w:rPr>
          <w:rFonts w:ascii="Arial" w:cs="Arial" w:eastAsia="Arial" w:hAnsi="Arial"/>
          <w:b/>
          <w:bCs/>
          <w:color w:val="185FA5"/>
          <w:sz w:val="56"/>
          <w:szCs w:val="56"/>
        </w:rPr>
        <w:t xml:space="preserve">Portfolio Dashboard</w:t>
      </w:r>
    </w:p>
    <w:p>
      <w:pPr>
        <w:spacing w:after="100" w:before="0"/>
        <w:jc w:val="center"/>
      </w:pPr>
      <w:r>
        <w:rPr>
          <w:rFonts w:ascii="Arial" w:cs="Arial" w:eastAsia="Arial" w:hAnsi="Arial"/>
          <w:color w:val="555555"/>
          <w:sz w:val="24"/>
          <w:szCs w:val="24"/>
        </w:rPr>
        <w:t xml:space="preserve">A Sigma Computing Case Study</w:t>
      </w:r>
    </w:p>
    <w:p>
      <w:pPr>
        <w:spacing w:after="500" w:before="0"/>
        <w:jc w:val="center"/>
      </w:pPr>
      <w:r>
        <w:rPr>
          <w:rFonts w:ascii="Arial" w:cs="Arial" w:eastAsia="Arial" w:hAnsi="Arial"/>
          <w:color w:val="AAAAAA"/>
          <w:sz w:val="20"/>
          <w:szCs w:val="20"/>
        </w:rPr>
        <w:t xml:space="preserve">Branch Performance  ·  Loan Risk  ·  Delinquency Monitoring  ·  P&amp;L Analysis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F4FB" w:val="clear"/>
            <w:tcMar>
              <w:top w:type="dxa" w:w="120"/>
              <w:left w:type="dxa" w:w="120"/>
              <w:bottom w:type="dxa" w:w="120"/>
              <w:right w:type="dxa" w:w="120"/>
            </w:tcMar>
          </w:tcPr>
          <w:p>
            <w:pPr>
              <w:jc w:val="center"/>
            </w:pPr>
            <w:r>
              <w:rPr>
                <w:rFonts w:ascii="Arial" w:cs="Arial" w:eastAsia="Arial" w:hAnsi="Arial"/>
                <w:b/>
                <w:bCs/>
                <w:color w:val="185FA5"/>
                <w:sz w:val="38"/>
                <w:szCs w:val="38"/>
              </w:rPr>
              <w:t xml:space="preserve">$2.8B</w:t>
            </w:r>
          </w:p>
          <w:p>
            <w:pPr>
              <w:spacing w:before="40"/>
              <w:jc w:val="center"/>
            </w:pPr>
            <w:r>
              <w:rPr>
                <w:rFonts w:ascii="Arial" w:cs="Arial" w:eastAsia="Arial" w:hAnsi="Arial"/>
                <w:color w:val="555555"/>
                <w:sz w:val="17"/>
                <w:szCs w:val="17"/>
              </w:rPr>
              <w:t xml:space="preserve">Total Loan Book</w:t>
            </w:r>
          </w:p>
        </w:tc>
        <w:tc>
          <w:tcPr>
            <w:tcW w:type="dxa" w:w="2340"/>
            <w:tcBorders>
              <w:top w:val="single" w:color="CCCCCC" w:sz="1"/>
              <w:left w:val="single" w:color="CCCCCC" w:sz="1"/>
              <w:bottom w:val="single" w:color="CCCCCC" w:sz="1"/>
              <w:right w:val="single" w:color="CCCCCC" w:sz="1"/>
            </w:tcBorders>
            <w:shd w:fill="EEF4FB" w:val="clear"/>
            <w:tcMar>
              <w:top w:type="dxa" w:w="120"/>
              <w:left w:type="dxa" w:w="120"/>
              <w:bottom w:type="dxa" w:w="120"/>
              <w:right w:type="dxa" w:w="120"/>
            </w:tcMar>
          </w:tcPr>
          <w:p>
            <w:pPr>
              <w:jc w:val="center"/>
            </w:pPr>
            <w:r>
              <w:rPr>
                <w:rFonts w:ascii="Arial" w:cs="Arial" w:eastAsia="Arial" w:hAnsi="Arial"/>
                <w:b/>
                <w:bCs/>
                <w:color w:val="A32D2D"/>
                <w:sz w:val="38"/>
                <w:szCs w:val="38"/>
              </w:rPr>
              <w:t xml:space="preserve">3.42%</w:t>
            </w:r>
          </w:p>
          <w:p>
            <w:pPr>
              <w:spacing w:before="40"/>
              <w:jc w:val="center"/>
            </w:pPr>
            <w:r>
              <w:rPr>
                <w:rFonts w:ascii="Arial" w:cs="Arial" w:eastAsia="Arial" w:hAnsi="Arial"/>
                <w:color w:val="555555"/>
                <w:sz w:val="17"/>
                <w:szCs w:val="17"/>
              </w:rPr>
              <w:t xml:space="preserve">Portfolio NPL Ratio</w:t>
            </w:r>
          </w:p>
        </w:tc>
        <w:tc>
          <w:tcPr>
            <w:tcW w:type="dxa" w:w="2340"/>
            <w:tcBorders>
              <w:top w:val="single" w:color="CCCCCC" w:sz="1"/>
              <w:left w:val="single" w:color="CCCCCC" w:sz="1"/>
              <w:bottom w:val="single" w:color="CCCCCC" w:sz="1"/>
              <w:right w:val="single" w:color="CCCCCC" w:sz="1"/>
            </w:tcBorders>
            <w:shd w:fill="EEF4FB" w:val="clear"/>
            <w:tcMar>
              <w:top w:type="dxa" w:w="120"/>
              <w:left w:type="dxa" w:w="120"/>
              <w:bottom w:type="dxa" w:w="120"/>
              <w:right w:type="dxa" w:w="120"/>
            </w:tcMar>
          </w:tcPr>
          <w:p>
            <w:pPr>
              <w:jc w:val="center"/>
            </w:pPr>
            <w:r>
              <w:rPr>
                <w:rFonts w:ascii="Arial" w:cs="Arial" w:eastAsia="Arial" w:hAnsi="Arial"/>
                <w:b/>
                <w:bCs/>
                <w:color w:val="185FA5"/>
                <w:sz w:val="38"/>
                <w:szCs w:val="38"/>
              </w:rPr>
              <w:t xml:space="preserve">$22.3M</w:t>
            </w:r>
          </w:p>
          <w:p>
            <w:pPr>
              <w:spacing w:before="40"/>
              <w:jc w:val="center"/>
            </w:pPr>
            <w:r>
              <w:rPr>
                <w:rFonts w:ascii="Arial" w:cs="Arial" w:eastAsia="Arial" w:hAnsi="Arial"/>
                <w:color w:val="555555"/>
                <w:sz w:val="17"/>
                <w:szCs w:val="17"/>
              </w:rPr>
              <w:t xml:space="preserve">Total Net Income</w:t>
            </w:r>
          </w:p>
        </w:tc>
        <w:tc>
          <w:tcPr>
            <w:tcW w:type="dxa" w:w="2340"/>
            <w:tcBorders>
              <w:top w:val="single" w:color="CCCCCC" w:sz="1"/>
              <w:left w:val="single" w:color="CCCCCC" w:sz="1"/>
              <w:bottom w:val="single" w:color="CCCCCC" w:sz="1"/>
              <w:right w:val="single" w:color="CCCCCC" w:sz="1"/>
            </w:tcBorders>
            <w:shd w:fill="EEF4FB" w:val="clear"/>
            <w:tcMar>
              <w:top w:type="dxa" w:w="120"/>
              <w:left w:type="dxa" w:w="120"/>
              <w:bottom w:type="dxa" w:w="120"/>
              <w:right w:type="dxa" w:w="120"/>
            </w:tcMar>
          </w:tcPr>
          <w:p>
            <w:pPr>
              <w:jc w:val="center"/>
            </w:pPr>
            <w:r>
              <w:rPr>
                <w:rFonts w:ascii="Arial" w:cs="Arial" w:eastAsia="Arial" w:hAnsi="Arial"/>
                <w:b/>
                <w:bCs/>
                <w:color w:val="185FA5"/>
                <w:sz w:val="38"/>
                <w:szCs w:val="38"/>
              </w:rPr>
              <w:t xml:space="preserve">50</w:t>
            </w:r>
          </w:p>
          <w:p>
            <w:pPr>
              <w:spacing w:before="40"/>
              <w:jc w:val="center"/>
            </w:pPr>
            <w:r>
              <w:rPr>
                <w:rFonts w:ascii="Arial" w:cs="Arial" w:eastAsia="Arial" w:hAnsi="Arial"/>
                <w:color w:val="555555"/>
                <w:sz w:val="17"/>
                <w:szCs w:val="17"/>
              </w:rPr>
              <w:t xml:space="preserve">Active Loans</w:t>
            </w:r>
          </w:p>
        </w:tc>
      </w:tr>
    </w:tbl>
    <w:p>
      <w:pPr>
        <w:spacing w:after="0" w:before="480"/>
      </w:pPr>
      <w:r>
        <w:t xml:space="preserve"/>
      </w:r>
    </w:p>
    <w:p>
      <w:pPr>
        <w:pBdr>
          <w:bottom w:val="single" w:color="185FA5" w:sz="8" w:space="4"/>
        </w:pBdr>
        <w:spacing w:after="120" w:before="440"/>
      </w:pPr>
      <w:r>
        <w:rPr>
          <w:rFonts w:ascii="Arial" w:cs="Arial" w:eastAsia="Arial" w:hAnsi="Arial"/>
          <w:b/>
          <w:bCs/>
          <w:color w:val="1A1A2E"/>
          <w:sz w:val="34"/>
          <w:szCs w:val="34"/>
        </w:rPr>
        <w:t xml:space="preserve">Project Overview</w:t>
      </w:r>
    </w:p>
    <w:p>
      <w:pPr>
        <w:spacing w:after="60" w:before="80"/>
        <w:jc w:val="left"/>
      </w:pPr>
      <w:r>
        <w:rPr>
          <w:rFonts w:ascii="Arial" w:cs="Arial" w:eastAsia="Arial" w:hAnsi="Arial"/>
          <w:b w:val="false"/>
          <w:bCs w:val="false"/>
          <w:color w:val="555555"/>
          <w:sz w:val="20"/>
          <w:szCs w:val="20"/>
        </w:rPr>
        <w:t xml:space="preserve">This case study documents the design and development of an interactive financial services analytics dashboard built entirely in Sigma Computing. The dashboard provides a unified view of loan portfolio health, branch performance, credit risk, and profitability across six US regional bank branches — New York Midtown, Los Angeles Downtown, Chicago Loop, Houston Galleria, Phoenix Central, and Miami Brickell.</w:t>
      </w:r>
    </w:p>
    <w:p>
      <w:pPr>
        <w:spacing w:after="60" w:before="80"/>
        <w:jc w:val="left"/>
      </w:pPr>
      <w:r>
        <w:rPr>
          <w:rFonts w:ascii="Arial" w:cs="Arial" w:eastAsia="Arial" w:hAnsi="Arial"/>
          <w:b w:val="false"/>
          <w:bCs w:val="false"/>
          <w:color w:val="555555"/>
          <w:sz w:val="20"/>
          <w:szCs w:val="20"/>
        </w:rPr>
        <w:t xml:space="preserve">The project was built from raw CSV data with no pre-existing data infrastructure, requiring the full data modeling pipeline to be designed and implemented from scratch inside Sigma — including table uploads, cross-table joins, calculated column engineering, and multi-page interactive dashboard construction.</w:t>
      </w:r>
    </w:p>
    <w:p>
      <w:pPr>
        <w:spacing w:after="0" w:before="160"/>
      </w:pPr>
      <w:r>
        <w:t xml:space="preserve"/>
      </w:r>
    </w:p>
    <w:p>
      <w:pPr>
        <w:pBdr>
          <w:bottom w:val="single" w:color="185FA5" w:sz="8" w:space="4"/>
        </w:pBdr>
        <w:spacing w:after="120" w:before="440"/>
      </w:pPr>
      <w:r>
        <w:rPr>
          <w:rFonts w:ascii="Arial" w:cs="Arial" w:eastAsia="Arial" w:hAnsi="Arial"/>
          <w:b/>
          <w:bCs/>
          <w:color w:val="1A1A2E"/>
          <w:sz w:val="34"/>
          <w:szCs w:val="34"/>
        </w:rPr>
        <w:t xml:space="preserve">Business Problem</w:t>
      </w:r>
    </w:p>
    <w:p>
      <w:pPr>
        <w:spacing w:after="60" w:before="80"/>
        <w:jc w:val="left"/>
      </w:pPr>
      <w:r>
        <w:rPr>
          <w:rFonts w:ascii="Arial" w:cs="Arial" w:eastAsia="Arial" w:hAnsi="Arial"/>
          <w:b w:val="false"/>
          <w:bCs w:val="false"/>
          <w:color w:val="555555"/>
          <w:sz w:val="20"/>
          <w:szCs w:val="20"/>
        </w:rPr>
        <w:t xml:space="preserve">Regional banks typically struggle to consolidate loan portfolio data across branches into a single actionable view. Branch managers and risk officers are forced to work from static spreadsheet reports that lack interactivity, real-time filtering, and cross-dimensional analysis.</w:t>
      </w:r>
    </w:p>
    <w:p>
      <w:pPr>
        <w:spacing w:after="60" w:before="80"/>
        <w:jc w:val="left"/>
      </w:pPr>
      <w:r>
        <w:rPr>
          <w:rFonts w:ascii="Arial" w:cs="Arial" w:eastAsia="Arial" w:hAnsi="Arial"/>
          <w:b w:val="false"/>
          <w:bCs w:val="false"/>
          <w:color w:val="555555"/>
          <w:sz w:val="20"/>
          <w:szCs w:val="20"/>
        </w:rPr>
        <w:t xml:space="preserve">This dashboard was built to answer four critical business questions that a real financial institution would face:</w:t>
      </w:r>
    </w:p>
    <w:p>
      <w:pPr>
        <w:pStyle w:val="ListParagraph"/>
        <w:numPr>
          <w:ilvl w:val="0"/>
          <w:numId w:val="2"/>
        </w:numPr>
        <w:spacing w:after="40" w:before="40"/>
      </w:pPr>
      <w:r>
        <w:rPr>
          <w:rFonts w:ascii="Arial" w:cs="Arial" w:eastAsia="Arial" w:hAnsi="Arial"/>
          <w:b/>
          <w:bCs/>
          <w:color w:val="1A1A2E"/>
          <w:sz w:val="20"/>
          <w:szCs w:val="20"/>
        </w:rPr>
        <w:t xml:space="preserve">Portfolio attainment: </w:t>
      </w:r>
      <w:r>
        <w:rPr>
          <w:rFonts w:ascii="Arial" w:cs="Arial" w:eastAsia="Arial" w:hAnsi="Arial"/>
          <w:color w:val="555555"/>
          <w:sz w:val="20"/>
          <w:szCs w:val="20"/>
        </w:rPr>
        <w:t xml:space="preserve">Which branches are hitting their loan book targets and which are falling short?</w:t>
      </w:r>
    </w:p>
    <w:p>
      <w:pPr>
        <w:pStyle w:val="ListParagraph"/>
        <w:numPr>
          <w:ilvl w:val="0"/>
          <w:numId w:val="2"/>
        </w:numPr>
        <w:spacing w:after="40" w:before="40"/>
      </w:pPr>
      <w:r>
        <w:rPr>
          <w:rFonts w:ascii="Arial" w:cs="Arial" w:eastAsia="Arial" w:hAnsi="Arial"/>
          <w:b/>
          <w:bCs/>
          <w:color w:val="1A1A2E"/>
          <w:sz w:val="20"/>
          <w:szCs w:val="20"/>
        </w:rPr>
        <w:t xml:space="preserve">Risk exposure: </w:t>
      </w:r>
      <w:r>
        <w:rPr>
          <w:rFonts w:ascii="Arial" w:cs="Arial" w:eastAsia="Arial" w:hAnsi="Arial"/>
          <w:color w:val="555555"/>
          <w:sz w:val="20"/>
          <w:szCs w:val="20"/>
        </w:rPr>
        <w:t xml:space="preserve">Where is credit risk concentrating — by loan type, risk grade, and DPD bucket?</w:t>
      </w:r>
    </w:p>
    <w:p>
      <w:pPr>
        <w:pStyle w:val="ListParagraph"/>
        <w:numPr>
          <w:ilvl w:val="0"/>
          <w:numId w:val="2"/>
        </w:numPr>
        <w:spacing w:after="40" w:before="40"/>
      </w:pPr>
      <w:r>
        <w:rPr>
          <w:rFonts w:ascii="Arial" w:cs="Arial" w:eastAsia="Arial" w:hAnsi="Arial"/>
          <w:b/>
          <w:bCs/>
          <w:color w:val="1A1A2E"/>
          <w:sz w:val="20"/>
          <w:szCs w:val="20"/>
        </w:rPr>
        <w:t xml:space="preserve">Delinquency trends: </w:t>
      </w:r>
      <w:r>
        <w:rPr>
          <w:rFonts w:ascii="Arial" w:cs="Arial" w:eastAsia="Arial" w:hAnsi="Arial"/>
          <w:color w:val="555555"/>
          <w:sz w:val="20"/>
          <w:szCs w:val="20"/>
        </w:rPr>
        <w:t xml:space="preserve">How is delinquency trending over time and which branches need intervention?</w:t>
      </w:r>
    </w:p>
    <w:p>
      <w:pPr>
        <w:pStyle w:val="ListParagraph"/>
        <w:numPr>
          <w:ilvl w:val="0"/>
          <w:numId w:val="2"/>
        </w:numPr>
        <w:spacing w:after="40" w:before="40"/>
      </w:pPr>
      <w:r>
        <w:rPr>
          <w:rFonts w:ascii="Arial" w:cs="Arial" w:eastAsia="Arial" w:hAnsi="Arial"/>
          <w:b/>
          <w:bCs/>
          <w:color w:val="1A1A2E"/>
          <w:sz w:val="20"/>
          <w:szCs w:val="20"/>
        </w:rPr>
        <w:t xml:space="preserve">Profitability: </w:t>
      </w:r>
      <w:r>
        <w:rPr>
          <w:rFonts w:ascii="Arial" w:cs="Arial" w:eastAsia="Arial" w:hAnsi="Arial"/>
          <w:color w:val="555555"/>
          <w:sz w:val="20"/>
          <w:szCs w:val="20"/>
        </w:rPr>
        <w:t xml:space="preserve">Which branches are profitable and which have unsustainable cost structures?</w:t>
      </w:r>
    </w:p>
    <w:p>
      <w:pPr>
        <w:spacing w:after="0" w:before="160"/>
      </w:pPr>
      <w:r>
        <w:t xml:space="preserve"/>
      </w:r>
    </w:p>
    <w:p>
      <w:pPr>
        <w:pBdr>
          <w:bottom w:val="single" w:color="185FA5" w:sz="8" w:space="4"/>
        </w:pBdr>
        <w:spacing w:after="120" w:before="440"/>
      </w:pPr>
      <w:r>
        <w:rPr>
          <w:rFonts w:ascii="Arial" w:cs="Arial" w:eastAsia="Arial" w:hAnsi="Arial"/>
          <w:b/>
          <w:bCs/>
          <w:color w:val="1A1A2E"/>
          <w:sz w:val="34"/>
          <w:szCs w:val="34"/>
        </w:rPr>
        <w:t xml:space="preserve">Data Architecture</w:t>
      </w:r>
    </w:p>
    <w:p>
      <w:pPr>
        <w:spacing w:after="80" w:before="300"/>
      </w:pPr>
      <w:r>
        <w:rPr>
          <w:rFonts w:ascii="Arial" w:cs="Arial" w:eastAsia="Arial" w:hAnsi="Arial"/>
          <w:b/>
          <w:bCs/>
          <w:color w:val="185FA5"/>
          <w:sz w:val="26"/>
          <w:szCs w:val="26"/>
        </w:rPr>
        <w:t xml:space="preserve">Source Tables</w:t>
      </w:r>
    </w:p>
    <w:p>
      <w:pPr>
        <w:spacing w:after="60" w:before="80"/>
        <w:jc w:val="left"/>
      </w:pPr>
      <w:r>
        <w:rPr>
          <w:rFonts w:ascii="Arial" w:cs="Arial" w:eastAsia="Arial" w:hAnsi="Arial"/>
          <w:b w:val="false"/>
          <w:bCs w:val="false"/>
          <w:color w:val="555555"/>
          <w:sz w:val="20"/>
          <w:szCs w:val="20"/>
        </w:rPr>
        <w:t xml:space="preserve">Five CSV datasets were uploaded to a Sigma Data Model, forming the foundation of the entire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Rows</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18"/>
                <w:szCs w:val="18"/>
              </w:rPr>
              <w:t xml:space="preserve">loan_portfolio.csv</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555555"/>
                <w:sz w:val="18"/>
                <w:szCs w:val="18"/>
              </w:rPr>
              <w:t xml:space="preserve">50 rows</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555555"/>
                <w:sz w:val="18"/>
                <w:szCs w:val="18"/>
              </w:rPr>
              <w:t xml:space="preserve">Core fact table — loan_id, customer_id, branch_id, loan_type, principal_amount, interest_rate, outstanding_balance, loan_status, credit_score_at_origination, risk_grade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customers.csv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30 rows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Customer dimension — full_name, segment (Mass/Standard/Premium), annual_income, employment_status, city, state</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18"/>
                <w:szCs w:val="18"/>
              </w:rPr>
              <w:t xml:space="preserve">branches.csv</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555555"/>
                <w:sz w:val="18"/>
                <w:szCs w:val="18"/>
              </w:rPr>
              <w:t xml:space="preserve">6 rows</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555555"/>
                <w:sz w:val="18"/>
                <w:szCs w:val="18"/>
              </w:rPr>
              <w:t xml:space="preserve">Branch dimension — branch_name, city, state, branch_manager, target_loan_book, ytd_loan_book, ytd_npl_ratio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delinquency_buckets.csv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48 rows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Quarterly DPD snapshots — snapshot_month, bucket, loan_count, total_outstanding, provision_pct, write_off_amount</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18"/>
                <w:szCs w:val="18"/>
              </w:rPr>
              <w:t xml:space="preserve">monthly_pl.csv</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555555"/>
                <w:sz w:val="18"/>
                <w:szCs w:val="18"/>
              </w:rPr>
              <w:t xml:space="preserve">18 rows</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555555"/>
                <w:sz w:val="18"/>
                <w:szCs w:val="18"/>
              </w:rPr>
              <w:t xml:space="preserve">Monthly P&amp;L — interest_income, fee_income, provision_expense, operating_expense, net_income, new_loan_volume</w:t>
            </w:r>
          </w:p>
        </w:tc>
      </w:tr>
    </w:tbl>
    <w:p>
      <w:pPr>
        <w:spacing w:after="0" w:before="160"/>
      </w:pPr>
      <w:r>
        <w:t xml:space="preserve"/>
      </w:r>
    </w:p>
    <w:p>
      <w:pPr>
        <w:spacing w:after="80" w:before="300"/>
      </w:pPr>
      <w:r>
        <w:rPr>
          <w:rFonts w:ascii="Arial" w:cs="Arial" w:eastAsia="Arial" w:hAnsi="Arial"/>
          <w:b/>
          <w:bCs/>
          <w:color w:val="185FA5"/>
          <w:sz w:val="26"/>
          <w:szCs w:val="26"/>
        </w:rPr>
        <w:t xml:space="preserve">Joins &amp; Relationships</w:t>
      </w:r>
    </w:p>
    <w:p>
      <w:pPr>
        <w:spacing w:after="60" w:before="80"/>
        <w:jc w:val="left"/>
      </w:pPr>
      <w:r>
        <w:rPr>
          <w:rFonts w:ascii="Arial" w:cs="Arial" w:eastAsia="Arial" w:hAnsi="Arial"/>
          <w:b w:val="false"/>
          <w:bCs w:val="false"/>
          <w:color w:val="555555"/>
          <w:sz w:val="20"/>
          <w:szCs w:val="20"/>
        </w:rPr>
        <w:t xml:space="preserve">Four Lookup joins were configured in the Data Model to create a star schema connecting all tables through shared keys:</w:t>
      </w:r>
    </w:p>
    <w:p>
      <w:pPr>
        <w:pStyle w:val="ListParagraph"/>
        <w:numPr>
          <w:ilvl w:val="0"/>
          <w:numId w:val="2"/>
        </w:numPr>
        <w:spacing w:after="40" w:before="40"/>
      </w:pPr>
      <w:r>
        <w:rPr>
          <w:rFonts w:ascii="Arial" w:cs="Arial" w:eastAsia="Arial" w:hAnsi="Arial"/>
          <w:color w:val="555555"/>
          <w:sz w:val="20"/>
          <w:szCs w:val="20"/>
        </w:rPr>
        <w:t xml:space="preserve">loan_portfolio → branches via branch_id — brings in branch_name, city, state, ytd_npl_ratio, target_loan_book, ytd_loan_book</w:t>
      </w:r>
    </w:p>
    <w:p>
      <w:pPr>
        <w:pStyle w:val="ListParagraph"/>
        <w:numPr>
          <w:ilvl w:val="0"/>
          <w:numId w:val="2"/>
        </w:numPr>
        <w:spacing w:after="40" w:before="40"/>
      </w:pPr>
      <w:r>
        <w:rPr>
          <w:rFonts w:ascii="Arial" w:cs="Arial" w:eastAsia="Arial" w:hAnsi="Arial"/>
          <w:color w:val="555555"/>
          <w:sz w:val="20"/>
          <w:szCs w:val="20"/>
        </w:rPr>
        <w:t xml:space="preserve">loan_portfolio → customers via customer_id — brings in full_name, segment, annual_income, employment_status</w:t>
      </w:r>
    </w:p>
    <w:p>
      <w:pPr>
        <w:pStyle w:val="ListParagraph"/>
        <w:numPr>
          <w:ilvl w:val="0"/>
          <w:numId w:val="2"/>
        </w:numPr>
        <w:spacing w:after="40" w:before="40"/>
      </w:pPr>
      <w:r>
        <w:rPr>
          <w:rFonts w:ascii="Arial" w:cs="Arial" w:eastAsia="Arial" w:hAnsi="Arial"/>
          <w:color w:val="555555"/>
          <w:sz w:val="20"/>
          <w:szCs w:val="20"/>
        </w:rPr>
        <w:t xml:space="preserve">monthly_pl → branches via branch_id — brings in branch_name for chart labels and NPL ratio</w:t>
      </w:r>
    </w:p>
    <w:p>
      <w:pPr>
        <w:pStyle w:val="ListParagraph"/>
        <w:numPr>
          <w:ilvl w:val="0"/>
          <w:numId w:val="2"/>
        </w:numPr>
        <w:spacing w:after="40" w:before="40"/>
      </w:pPr>
      <w:r>
        <w:rPr>
          <w:rFonts w:ascii="Arial" w:cs="Arial" w:eastAsia="Arial" w:hAnsi="Arial"/>
          <w:color w:val="555555"/>
          <w:sz w:val="20"/>
          <w:szCs w:val="20"/>
        </w:rPr>
        <w:t xml:space="preserve">delinquency_buckets → branches via branch_id — brings in branch_name for trend and pivot charts</w:t>
      </w:r>
    </w:p>
    <w:p>
      <w:pPr>
        <w:spacing w:after="0" w:before="80"/>
      </w:pPr>
      <w:r>
        <w:t xml:space="preserve"/>
      </w:r>
    </w:p>
    <w:p>
      <w:pPr>
        <w:spacing w:after="80" w:before="300"/>
      </w:pPr>
      <w:r>
        <w:rPr>
          <w:rFonts w:ascii="Arial" w:cs="Arial" w:eastAsia="Arial" w:hAnsi="Arial"/>
          <w:b/>
          <w:bCs/>
          <w:color w:val="185FA5"/>
          <w:sz w:val="26"/>
          <w:szCs w:val="26"/>
        </w:rPr>
        <w:t xml:space="preserve">Calculated Columns</w:t>
      </w:r>
    </w:p>
    <w:p>
      <w:pPr>
        <w:spacing w:after="60" w:before="80"/>
        <w:jc w:val="left"/>
      </w:pPr>
      <w:r>
        <w:rPr>
          <w:rFonts w:ascii="Arial" w:cs="Arial" w:eastAsia="Arial" w:hAnsi="Arial"/>
          <w:b w:val="false"/>
          <w:bCs w:val="false"/>
          <w:color w:val="555555"/>
          <w:sz w:val="20"/>
          <w:szCs w:val="20"/>
        </w:rPr>
        <w:t xml:space="preserve">Four business metrics were engineered directly in the Data Model using Sigma formulas:</w:t>
      </w:r>
    </w:p>
    <w:p>
      <w:pPr>
        <w:pStyle w:val="ListParagraph"/>
        <w:numPr>
          <w:ilvl w:val="0"/>
          <w:numId w:val="2"/>
        </w:numPr>
        <w:spacing w:after="40" w:before="40"/>
      </w:pPr>
      <w:r>
        <w:rPr>
          <w:rFonts w:ascii="Arial" w:cs="Arial" w:eastAsia="Arial" w:hAnsi="Arial"/>
          <w:color w:val="555555"/>
          <w:sz w:val="20"/>
          <w:szCs w:val="20"/>
        </w:rPr>
        <w:t xml:space="preserve">Loan Attainment % = [ytd_loan_book] / [target_loan_book] — powers the branch bar chart color gradient showing attainment from 87.4% to 94.3%</w:t>
      </w:r>
    </w:p>
    <w:p>
      <w:pPr>
        <w:pStyle w:val="ListParagraph"/>
        <w:numPr>
          <w:ilvl w:val="0"/>
          <w:numId w:val="2"/>
        </w:numPr>
        <w:spacing w:after="40" w:before="40"/>
      </w:pPr>
      <w:r>
        <w:rPr>
          <w:rFonts w:ascii="Arial" w:cs="Arial" w:eastAsia="Arial" w:hAnsi="Arial"/>
          <w:color w:val="555555"/>
          <w:sz w:val="20"/>
          <w:szCs w:val="20"/>
        </w:rPr>
        <w:t xml:space="preserve">ytd NPL Ratio (numeric) = Number(Left([ytd_npl_ratio], Len([ytd_npl_ratio])-1)) / 100 — converts text percentages to decimals for averaging and color rules</w:t>
      </w:r>
    </w:p>
    <w:p>
      <w:pPr>
        <w:pStyle w:val="ListParagraph"/>
        <w:numPr>
          <w:ilvl w:val="0"/>
          <w:numId w:val="2"/>
        </w:numPr>
        <w:spacing w:after="40" w:before="40"/>
      </w:pPr>
      <w:r>
        <w:rPr>
          <w:rFonts w:ascii="Arial" w:cs="Arial" w:eastAsia="Arial" w:hAnsi="Arial"/>
          <w:color w:val="555555"/>
          <w:sz w:val="20"/>
          <w:szCs w:val="20"/>
        </w:rPr>
        <w:t xml:space="preserve">Cost to Income Ratio = [operating_expense] / ([interest_income] + [fee_income]) — branch efficiency metric used on P&amp;L page</w:t>
      </w:r>
    </w:p>
    <w:p>
      <w:pPr>
        <w:pStyle w:val="ListParagraph"/>
        <w:numPr>
          <w:ilvl w:val="0"/>
          <w:numId w:val="2"/>
        </w:numPr>
        <w:spacing w:after="40" w:before="40"/>
      </w:pPr>
      <w:r>
        <w:rPr>
          <w:rFonts w:ascii="Arial" w:cs="Arial" w:eastAsia="Arial" w:hAnsi="Arial"/>
          <w:color w:val="555555"/>
          <w:sz w:val="20"/>
          <w:szCs w:val="20"/>
        </w:rPr>
        <w:t xml:space="preserve">Risk Tier = If/Else on loan_status — maps Current → Healthy, 30-59 DPD → Watch, 60-89 DPD → Substandard, 90+ DPD → Critical</w:t>
      </w:r>
    </w:p>
    <w:p>
      <w:pPr>
        <w:spacing w:after="0" w:before="160"/>
      </w:pPr>
      <w:r>
        <w:t xml:space="preserve"/>
      </w:r>
    </w:p>
    <w:p>
      <w:pPr>
        <w:pBdr>
          <w:bottom w:val="single" w:color="185FA5" w:sz="8" w:space="4"/>
        </w:pBdr>
        <w:spacing w:after="120" w:before="440"/>
      </w:pPr>
      <w:r>
        <w:rPr>
          <w:rFonts w:ascii="Arial" w:cs="Arial" w:eastAsia="Arial" w:hAnsi="Arial"/>
          <w:b/>
          <w:bCs/>
          <w:color w:val="1A1A2E"/>
          <w:sz w:val="34"/>
          <w:szCs w:val="34"/>
        </w:rPr>
        <w:t xml:space="preserve">Dashboard Pages</w:t>
      </w:r>
    </w:p>
    <w:p>
      <w:pPr>
        <w:spacing w:after="80" w:before="300"/>
      </w:pPr>
      <w:r>
        <w:rPr>
          <w:rFonts w:ascii="Arial" w:cs="Arial" w:eastAsia="Arial" w:hAnsi="Arial"/>
          <w:b/>
          <w:bCs/>
          <w:color w:val="185FA5"/>
          <w:sz w:val="26"/>
          <w:szCs w:val="26"/>
        </w:rPr>
        <w:t xml:space="preserve">Page 1 — Executive Overview</w:t>
      </w:r>
    </w:p>
    <w:p>
      <w:pPr>
        <w:spacing w:after="60" w:before="80"/>
        <w:jc w:val="left"/>
      </w:pPr>
      <w:r>
        <w:rPr>
          <w:rFonts w:ascii="Arial" w:cs="Arial" w:eastAsia="Arial" w:hAnsi="Arial"/>
          <w:b w:val="false"/>
          <w:bCs w:val="false"/>
          <w:color w:val="555555"/>
          <w:sz w:val="20"/>
          <w:szCs w:val="20"/>
        </w:rPr>
        <w:t xml:space="preserve">The Executive Overview is designed for senior management and provides a complete portfolio health snapshot. It is the most visually rich page of the dashboard, combining KPI scorecards, bar charts, a donut chart, a US geographic map, and a net income trend line in a single view.</w:t>
      </w:r>
    </w:p>
    <w:p>
      <w:pPr>
        <w:spacing w:after="60" w:before="200"/>
      </w:pPr>
      <w:r>
        <w:rPr>
          <w:rFonts w:ascii="Arial" w:cs="Arial" w:eastAsia="Arial" w:hAnsi="Arial"/>
          <w:b/>
          <w:bCs/>
          <w:color w:val="1A1A2E"/>
          <w:sz w:val="22"/>
          <w:szCs w:val="22"/>
        </w:rPr>
        <w:t xml:space="preserve">KPI Scorecards</w:t>
      </w:r>
    </w:p>
    <w:p>
      <w:pPr>
        <w:pStyle w:val="ListParagraph"/>
        <w:numPr>
          <w:ilvl w:val="0"/>
          <w:numId w:val="2"/>
        </w:numPr>
        <w:spacing w:after="40" w:before="40"/>
      </w:pPr>
      <w:r>
        <w:rPr>
          <w:rFonts w:ascii="Arial" w:cs="Arial" w:eastAsia="Arial" w:hAnsi="Arial"/>
          <w:color w:val="555555"/>
          <w:sz w:val="20"/>
          <w:szCs w:val="20"/>
        </w:rPr>
        <w:t xml:space="preserve">Total Loan Book: $2,801,000,000 — sum of ytd_loan_book across all 6 branches</w:t>
      </w:r>
    </w:p>
    <w:p>
      <w:pPr>
        <w:pStyle w:val="ListParagraph"/>
        <w:numPr>
          <w:ilvl w:val="0"/>
          <w:numId w:val="2"/>
        </w:numPr>
        <w:spacing w:after="40" w:before="40"/>
      </w:pPr>
      <w:r>
        <w:rPr>
          <w:rFonts w:ascii="Arial" w:cs="Arial" w:eastAsia="Arial" w:hAnsi="Arial"/>
          <w:color w:val="555555"/>
          <w:sz w:val="20"/>
          <w:szCs w:val="20"/>
        </w:rPr>
        <w:t xml:space="preserve">Portfolio NPL Ratio: 3.42% — average of the numeric NPL ratio calculated column</w:t>
      </w:r>
    </w:p>
    <w:p>
      <w:pPr>
        <w:pStyle w:val="ListParagraph"/>
        <w:numPr>
          <w:ilvl w:val="0"/>
          <w:numId w:val="2"/>
        </w:numPr>
        <w:spacing w:after="40" w:before="40"/>
      </w:pPr>
      <w:r>
        <w:rPr>
          <w:rFonts w:ascii="Arial" w:cs="Arial" w:eastAsia="Arial" w:hAnsi="Arial"/>
          <w:color w:val="555555"/>
          <w:sz w:val="20"/>
          <w:szCs w:val="20"/>
        </w:rPr>
        <w:t xml:space="preserve">Total Net Income: $22,256,000 — sum of net_income from monthly_pl</w:t>
      </w:r>
    </w:p>
    <w:p>
      <w:pPr>
        <w:pStyle w:val="ListParagraph"/>
        <w:numPr>
          <w:ilvl w:val="0"/>
          <w:numId w:val="2"/>
        </w:numPr>
        <w:spacing w:after="40" w:before="40"/>
      </w:pPr>
      <w:r>
        <w:rPr>
          <w:rFonts w:ascii="Arial" w:cs="Arial" w:eastAsia="Arial" w:hAnsi="Arial"/>
          <w:color w:val="555555"/>
          <w:sz w:val="20"/>
          <w:szCs w:val="20"/>
        </w:rPr>
        <w:t xml:space="preserve">Active Loans: 50 — count distinct of loan_id from loan_portfolio</w:t>
      </w:r>
    </w:p>
    <w:p>
      <w:pPr>
        <w:spacing w:after="60" w:before="200"/>
      </w:pPr>
      <w:r>
        <w:rPr>
          <w:rFonts w:ascii="Arial" w:cs="Arial" w:eastAsia="Arial" w:hAnsi="Arial"/>
          <w:b/>
          <w:bCs/>
          <w:color w:val="1A1A2E"/>
          <w:sz w:val="22"/>
          <w:szCs w:val="22"/>
        </w:rPr>
        <w:t xml:space="preserve">Loan Book by Branch Bar Chart</w:t>
      </w:r>
    </w:p>
    <w:p>
      <w:pPr>
        <w:spacing w:after="60" w:before="80"/>
        <w:jc w:val="left"/>
      </w:pPr>
      <w:r>
        <w:rPr>
          <w:rFonts w:ascii="Arial" w:cs="Arial" w:eastAsia="Arial" w:hAnsi="Arial"/>
          <w:b w:val="false"/>
          <w:bCs w:val="false"/>
          <w:color w:val="555555"/>
          <w:sz w:val="20"/>
          <w:szCs w:val="20"/>
        </w:rPr>
        <w:t xml:space="preserve">A vertical bar chart showing ytd_loan_book for each of the 6 branches, sorted descending. The bars are color-coded by loan attainment percentage using a gradient from dark blue (highest: NY Midtown at 94.3%) to light blue (lowest: Miami Brickell at 87.4%). This immediately identifies which branches are furthest below target.</w:t>
      </w:r>
    </w:p>
    <w:p>
      <w:pPr>
        <w:spacing w:after="60" w:before="200"/>
      </w:pPr>
      <w:r>
        <w:rPr>
          <w:rFonts w:ascii="Arial" w:cs="Arial" w:eastAsia="Arial" w:hAnsi="Arial"/>
          <w:b/>
          <w:bCs/>
          <w:color w:val="1A1A2E"/>
          <w:sz w:val="22"/>
          <w:szCs w:val="22"/>
        </w:rPr>
        <w:t xml:space="preserve">Loan Mix by Type Donut Chart</w:t>
      </w:r>
    </w:p>
    <w:p>
      <w:pPr>
        <w:spacing w:after="60" w:before="80"/>
        <w:jc w:val="left"/>
      </w:pPr>
      <w:r>
        <w:rPr>
          <w:rFonts w:ascii="Arial" w:cs="Arial" w:eastAsia="Arial" w:hAnsi="Arial"/>
          <w:b w:val="false"/>
          <w:bCs w:val="false"/>
          <w:color w:val="555555"/>
          <w:sz w:val="20"/>
          <w:szCs w:val="20"/>
        </w:rPr>
        <w:t xml:space="preserve">A donut chart breaking down the portfolio by loan_type (Auto, Mortgage, Personal, Small Business) measured by sum of outstanding_balance. Mortgage dominates the portfolio by dollar value, which is expected for a regional bank.</w:t>
      </w:r>
    </w:p>
    <w:p>
      <w:pPr>
        <w:spacing w:after="60" w:before="200"/>
      </w:pPr>
      <w:r>
        <w:rPr>
          <w:rFonts w:ascii="Arial" w:cs="Arial" w:eastAsia="Arial" w:hAnsi="Arial"/>
          <w:b/>
          <w:bCs/>
          <w:color w:val="1A1A2E"/>
          <w:sz w:val="22"/>
          <w:szCs w:val="22"/>
        </w:rPr>
        <w:t xml:space="preserve">NPL Ratio by Branch Horizontal Bar</w:t>
      </w:r>
    </w:p>
    <w:p>
      <w:pPr>
        <w:spacing w:after="60" w:before="80"/>
        <w:jc w:val="left"/>
      </w:pPr>
      <w:r>
        <w:rPr>
          <w:rFonts w:ascii="Arial" w:cs="Arial" w:eastAsia="Arial" w:hAnsi="Arial"/>
          <w:b w:val="false"/>
          <w:bCs w:val="false"/>
          <w:color w:val="555555"/>
          <w:sz w:val="20"/>
          <w:szCs w:val="20"/>
        </w:rPr>
        <w:t xml:space="preserve">A horizontal bar chart showing the ytd NPL Ratio for each branch with numeric labels. Miami Brickell (0.054) and Houston Galleria (0.041) are significantly above the portfolio average, flagging them as priority risk management targets. New York Midtown (0.026) is the healthiest branch by this metric.</w:t>
      </w:r>
    </w:p>
    <w:p>
      <w:pPr>
        <w:spacing w:after="60" w:before="200"/>
      </w:pPr>
      <w:r>
        <w:rPr>
          <w:rFonts w:ascii="Arial" w:cs="Arial" w:eastAsia="Arial" w:hAnsi="Arial"/>
          <w:b/>
          <w:bCs/>
          <w:color w:val="1A1A2E"/>
          <w:sz w:val="22"/>
          <w:szCs w:val="22"/>
        </w:rPr>
        <w:t xml:space="preserve">US Geographic Map</w:t>
      </w:r>
    </w:p>
    <w:p>
      <w:pPr>
        <w:spacing w:after="60" w:before="80"/>
        <w:jc w:val="left"/>
      </w:pPr>
      <w:r>
        <w:rPr>
          <w:rFonts w:ascii="Arial" w:cs="Arial" w:eastAsia="Arial" w:hAnsi="Arial"/>
          <w:b w:val="false"/>
          <w:bCs w:val="false"/>
          <w:color w:val="555555"/>
          <w:sz w:val="20"/>
          <w:szCs w:val="20"/>
        </w:rPr>
        <w:t xml:space="preserve">A Sigma map visualization plotting all 6 branches on a US map, with each state shaded and labeled by its loan attainment percentage. This provides immediate geographic context — Florida (Miami Brickell) is visually the most at-risk market at 87.4%, while California (LA Downtown) leads at 94.3%.</w:t>
      </w:r>
    </w:p>
    <w:p>
      <w:pPr>
        <w:spacing w:after="60" w:before="200"/>
      </w:pPr>
      <w:r>
        <w:rPr>
          <w:rFonts w:ascii="Arial" w:cs="Arial" w:eastAsia="Arial" w:hAnsi="Arial"/>
          <w:b/>
          <w:bCs/>
          <w:color w:val="1A1A2E"/>
          <w:sz w:val="22"/>
          <w:szCs w:val="22"/>
        </w:rPr>
        <w:t xml:space="preserve">Net Income Trend Line</w:t>
      </w:r>
    </w:p>
    <w:p>
      <w:pPr>
        <w:spacing w:after="60" w:before="80"/>
        <w:jc w:val="left"/>
      </w:pPr>
      <w:r>
        <w:rPr>
          <w:rFonts w:ascii="Arial" w:cs="Arial" w:eastAsia="Arial" w:hAnsi="Arial"/>
          <w:b w:val="false"/>
          <w:bCs w:val="false"/>
          <w:color w:val="555555"/>
          <w:sz w:val="20"/>
          <w:szCs w:val="20"/>
        </w:rPr>
        <w:t xml:space="preserve">A multi-series line chart showing monthly net income for all 6 branches across January, February, and March 2024. New York Midtown and Los Angeles Downtown show consistent upward trends. Miami Brickell shows the lowest and flattest income trajectory across the quarter.</w:t>
      </w:r>
    </w:p>
    <w:p>
      <w:pPr>
        <w:spacing w:after="60" w:before="200"/>
      </w:pPr>
      <w:r>
        <w:rPr>
          <w:rFonts w:ascii="Arial" w:cs="Arial" w:eastAsia="Arial" w:hAnsi="Arial"/>
          <w:b/>
          <w:bCs/>
          <w:color w:val="1A1A2E"/>
          <w:sz w:val="22"/>
          <w:szCs w:val="22"/>
        </w:rPr>
        <w:t xml:space="preserve">Filter Controls</w:t>
      </w:r>
    </w:p>
    <w:p>
      <w:pPr>
        <w:pStyle w:val="ListParagraph"/>
        <w:numPr>
          <w:ilvl w:val="0"/>
          <w:numId w:val="2"/>
        </w:numPr>
        <w:spacing w:after="40" w:before="40"/>
      </w:pPr>
      <w:r>
        <w:rPr>
          <w:rFonts w:ascii="Arial" w:cs="Arial" w:eastAsia="Arial" w:hAnsi="Arial"/>
          <w:color w:val="555555"/>
          <w:sz w:val="20"/>
          <w:szCs w:val="20"/>
        </w:rPr>
        <w:t xml:space="preserve">Branch Name — multi-select list connected to branches table</w:t>
      </w:r>
    </w:p>
    <w:p>
      <w:pPr>
        <w:pStyle w:val="ListParagraph"/>
        <w:numPr>
          <w:ilvl w:val="0"/>
          <w:numId w:val="2"/>
        </w:numPr>
        <w:spacing w:after="40" w:before="40"/>
      </w:pPr>
      <w:r>
        <w:rPr>
          <w:rFonts w:ascii="Arial" w:cs="Arial" w:eastAsia="Arial" w:hAnsi="Arial"/>
          <w:color w:val="555555"/>
          <w:sz w:val="20"/>
          <w:szCs w:val="20"/>
        </w:rPr>
        <w:t xml:space="preserve">Loan Type — multi-select list connected to loan_portfolio</w:t>
      </w:r>
    </w:p>
    <w:p>
      <w:pPr>
        <w:pStyle w:val="ListParagraph"/>
        <w:numPr>
          <w:ilvl w:val="0"/>
          <w:numId w:val="2"/>
        </w:numPr>
        <w:spacing w:after="40" w:before="40"/>
      </w:pPr>
      <w:r>
        <w:rPr>
          <w:rFonts w:ascii="Arial" w:cs="Arial" w:eastAsia="Arial" w:hAnsi="Arial"/>
          <w:color w:val="555555"/>
          <w:sz w:val="20"/>
          <w:szCs w:val="20"/>
        </w:rPr>
        <w:t xml:space="preserve">Origination Date — date range control for time-period filtering</w:t>
      </w:r>
    </w:p>
    <w:p>
      <w:pPr>
        <w:spacing w:after="0" w:before="160"/>
      </w:pPr>
      <w:r>
        <w:t xml:space="preserve"/>
      </w:r>
    </w:p>
    <w:p>
      <w:pPr>
        <w:spacing w:after="80" w:before="300"/>
      </w:pPr>
      <w:r>
        <w:rPr>
          <w:rFonts w:ascii="Arial" w:cs="Arial" w:eastAsia="Arial" w:hAnsi="Arial"/>
          <w:b/>
          <w:bCs/>
          <w:color w:val="185FA5"/>
          <w:sz w:val="26"/>
          <w:szCs w:val="26"/>
        </w:rPr>
        <w:t xml:space="preserve">Page 2 — Loan Portfolio</w:t>
      </w:r>
    </w:p>
    <w:p>
      <w:pPr>
        <w:spacing w:after="60" w:before="80"/>
        <w:jc w:val="left"/>
      </w:pPr>
      <w:r>
        <w:rPr>
          <w:rFonts w:ascii="Arial" w:cs="Arial" w:eastAsia="Arial" w:hAnsi="Arial"/>
          <w:b w:val="false"/>
          <w:bCs w:val="false"/>
          <w:color w:val="555555"/>
          <w:sz w:val="20"/>
          <w:szCs w:val="20"/>
        </w:rPr>
        <w:t xml:space="preserve">The Loan Portfolio page is designed for credit analysts and portfolio managers. All charts and KPIs on this page are sourced exclusively from loan_portfolio, meaning the three slicers (Loan Type, Risk Grade, Loan Status) filter every element simultaneously.</w:t>
      </w:r>
    </w:p>
    <w:p>
      <w:pPr>
        <w:spacing w:after="60" w:before="200"/>
      </w:pPr>
      <w:r>
        <w:rPr>
          <w:rFonts w:ascii="Arial" w:cs="Arial" w:eastAsia="Arial" w:hAnsi="Arial"/>
          <w:b/>
          <w:bCs/>
          <w:color w:val="1A1A2E"/>
          <w:sz w:val="22"/>
          <w:szCs w:val="22"/>
        </w:rPr>
        <w:t xml:space="preserve">KPI Scorecards</w:t>
      </w:r>
    </w:p>
    <w:p>
      <w:pPr>
        <w:pStyle w:val="ListParagraph"/>
        <w:numPr>
          <w:ilvl w:val="0"/>
          <w:numId w:val="2"/>
        </w:numPr>
        <w:spacing w:after="40" w:before="40"/>
      </w:pPr>
      <w:r>
        <w:rPr>
          <w:rFonts w:ascii="Arial" w:cs="Arial" w:eastAsia="Arial" w:hAnsi="Arial"/>
          <w:color w:val="555555"/>
          <w:sz w:val="20"/>
          <w:szCs w:val="20"/>
        </w:rPr>
        <w:t xml:space="preserve">Total Loans: 50 — count of all active loan records</w:t>
      </w:r>
    </w:p>
    <w:p>
      <w:pPr>
        <w:pStyle w:val="ListParagraph"/>
        <w:numPr>
          <w:ilvl w:val="0"/>
          <w:numId w:val="2"/>
        </w:numPr>
        <w:spacing w:after="40" w:before="40"/>
      </w:pPr>
      <w:r>
        <w:rPr>
          <w:rFonts w:ascii="Arial" w:cs="Arial" w:eastAsia="Arial" w:hAnsi="Arial"/>
          <w:color w:val="555555"/>
          <w:sz w:val="20"/>
          <w:szCs w:val="20"/>
        </w:rPr>
        <w:t xml:space="preserve">Total Principal Amount: $12,077,200 — sum of principal_amount</w:t>
      </w:r>
    </w:p>
    <w:p>
      <w:pPr>
        <w:pStyle w:val="ListParagraph"/>
        <w:numPr>
          <w:ilvl w:val="0"/>
          <w:numId w:val="2"/>
        </w:numPr>
        <w:spacing w:after="40" w:before="40"/>
      </w:pPr>
      <w:r>
        <w:rPr>
          <w:rFonts w:ascii="Arial" w:cs="Arial" w:eastAsia="Arial" w:hAnsi="Arial"/>
          <w:color w:val="555555"/>
          <w:sz w:val="20"/>
          <w:szCs w:val="20"/>
        </w:rPr>
        <w:t xml:space="preserve">Avg Credit Score: 685.68 — average of credit_score_at_origination across the portfolio</w:t>
      </w:r>
    </w:p>
    <w:p>
      <w:pPr>
        <w:spacing w:after="60" w:before="200"/>
      </w:pPr>
      <w:r>
        <w:rPr>
          <w:rFonts w:ascii="Arial" w:cs="Arial" w:eastAsia="Arial" w:hAnsi="Arial"/>
          <w:b/>
          <w:bCs/>
          <w:color w:val="1A1A2E"/>
          <w:sz w:val="22"/>
          <w:szCs w:val="22"/>
        </w:rPr>
        <w:t xml:space="preserve">Credit Score Distribution</w:t>
      </w:r>
    </w:p>
    <w:p>
      <w:pPr>
        <w:spacing w:after="60" w:before="80"/>
        <w:jc w:val="left"/>
      </w:pPr>
      <w:r>
        <w:rPr>
          <w:rFonts w:ascii="Arial" w:cs="Arial" w:eastAsia="Arial" w:hAnsi="Arial"/>
          <w:b w:val="false"/>
          <w:bCs w:val="false"/>
          <w:color w:val="555555"/>
          <w:sz w:val="20"/>
          <w:szCs w:val="20"/>
        </w:rPr>
        <w:t xml:space="preserve">A bar chart showing individual loan credit scores plotted by loan_id on the X-axis. This visualizes the spread of credit quality across the portfolio and makes it easy to identify clusters of low-score loans that may represent elevated risk.</w:t>
      </w:r>
    </w:p>
    <w:p>
      <w:pPr>
        <w:spacing w:after="60" w:before="200"/>
      </w:pPr>
      <w:r>
        <w:rPr>
          <w:rFonts w:ascii="Arial" w:cs="Arial" w:eastAsia="Arial" w:hAnsi="Arial"/>
          <w:b/>
          <w:bCs/>
          <w:color w:val="1A1A2E"/>
          <w:sz w:val="22"/>
          <w:szCs w:val="22"/>
        </w:rPr>
        <w:t xml:space="preserve">Outstanding Balance by Loan Status</w:t>
      </w:r>
    </w:p>
    <w:p>
      <w:pPr>
        <w:spacing w:after="60" w:before="80"/>
        <w:jc w:val="left"/>
      </w:pPr>
      <w:r>
        <w:rPr>
          <w:rFonts w:ascii="Arial" w:cs="Arial" w:eastAsia="Arial" w:hAnsi="Arial"/>
          <w:b w:val="false"/>
          <w:bCs w:val="false"/>
          <w:color w:val="555555"/>
          <w:sz w:val="20"/>
          <w:szCs w:val="20"/>
        </w:rPr>
        <w:t xml:space="preserve">A horizontal bar chart showing sum of outstanding_balance grouped by loan_status (Current, 30-59 DPD, 60-89 DPD, 90+ DPD). This immediately quantifies the dollar exposure in each delinquency category. The Current bucket dominates, with 90+ DPD representing the smallest but highest-risk segment.</w:t>
      </w:r>
    </w:p>
    <w:p>
      <w:pPr>
        <w:spacing w:after="60" w:before="200"/>
      </w:pPr>
      <w:r>
        <w:rPr>
          <w:rFonts w:ascii="Arial" w:cs="Arial" w:eastAsia="Arial" w:hAnsi="Arial"/>
          <w:b/>
          <w:bCs/>
          <w:color w:val="1A1A2E"/>
          <w:sz w:val="22"/>
          <w:szCs w:val="22"/>
        </w:rPr>
        <w:t xml:space="preserve">Principal vs Outstanding by Risk Grade</w:t>
      </w:r>
    </w:p>
    <w:p>
      <w:pPr>
        <w:spacing w:after="60" w:before="80"/>
        <w:jc w:val="left"/>
      </w:pPr>
      <w:r>
        <w:rPr>
          <w:rFonts w:ascii="Arial" w:cs="Arial" w:eastAsia="Arial" w:hAnsi="Arial"/>
          <w:b w:val="false"/>
          <w:bCs w:val="false"/>
          <w:color w:val="555555"/>
          <w:sz w:val="20"/>
          <w:szCs w:val="20"/>
        </w:rPr>
        <w:t xml:space="preserve">A grouped bar chart comparing sum of principal_amount and sum of outstanding_balance for each risk grade (A through E). Grade A loans have the largest principal balances, reflecting that high-credit-score borrowers access larger loan amounts. Grade E loans are small in volume but carry 100% provision requirements.</w:t>
      </w:r>
    </w:p>
    <w:p>
      <w:pPr>
        <w:spacing w:after="60" w:before="200"/>
      </w:pPr>
      <w:r>
        <w:rPr>
          <w:rFonts w:ascii="Arial" w:cs="Arial" w:eastAsia="Arial" w:hAnsi="Arial"/>
          <w:b/>
          <w:bCs/>
          <w:color w:val="1A1A2E"/>
          <w:sz w:val="22"/>
          <w:szCs w:val="22"/>
        </w:rPr>
        <w:t xml:space="preserve">Loan Detail Drill-Through Table</w:t>
      </w:r>
    </w:p>
    <w:p>
      <w:pPr>
        <w:spacing w:after="60" w:before="80"/>
        <w:jc w:val="left"/>
      </w:pPr>
      <w:r>
        <w:rPr>
          <w:rFonts w:ascii="Arial" w:cs="Arial" w:eastAsia="Arial" w:hAnsi="Arial"/>
          <w:b w:val="false"/>
          <w:bCs w:val="false"/>
          <w:color w:val="555555"/>
          <w:sz w:val="20"/>
          <w:szCs w:val="20"/>
        </w:rPr>
        <w:t xml:space="preserve">A full data table showing all 50 loan records with columns including loan_id, customer_id, branch_id, loan_type, principal_amount, interest_rate, term_months, outstanding_balance, loan_status, credit_score_at_origination, collateral_type, risk_grade, and the calculated Risk Tier column. This allows analysts to click through from summary charts to individual loan records for investigation.</w:t>
      </w:r>
    </w:p>
    <w:p>
      <w:pPr>
        <w:spacing w:after="60" w:before="200"/>
      </w:pPr>
      <w:r>
        <w:rPr>
          <w:rFonts w:ascii="Arial" w:cs="Arial" w:eastAsia="Arial" w:hAnsi="Arial"/>
          <w:b/>
          <w:bCs/>
          <w:color w:val="1A1A2E"/>
          <w:sz w:val="22"/>
          <w:szCs w:val="22"/>
        </w:rPr>
        <w:t xml:space="preserve">Filter Controls</w:t>
      </w:r>
    </w:p>
    <w:p>
      <w:pPr>
        <w:pStyle w:val="ListParagraph"/>
        <w:numPr>
          <w:ilvl w:val="0"/>
          <w:numId w:val="2"/>
        </w:numPr>
        <w:spacing w:after="40" w:before="40"/>
      </w:pPr>
      <w:r>
        <w:rPr>
          <w:rFonts w:ascii="Arial" w:cs="Arial" w:eastAsia="Arial" w:hAnsi="Arial"/>
          <w:color w:val="555555"/>
          <w:sz w:val="20"/>
          <w:szCs w:val="20"/>
        </w:rPr>
        <w:t xml:space="preserve">Loan Type — filters all charts to selected loan categories</w:t>
      </w:r>
    </w:p>
    <w:p>
      <w:pPr>
        <w:pStyle w:val="ListParagraph"/>
        <w:numPr>
          <w:ilvl w:val="0"/>
          <w:numId w:val="2"/>
        </w:numPr>
        <w:spacing w:after="40" w:before="40"/>
      </w:pPr>
      <w:r>
        <w:rPr>
          <w:rFonts w:ascii="Arial" w:cs="Arial" w:eastAsia="Arial" w:hAnsi="Arial"/>
          <w:color w:val="555555"/>
          <w:sz w:val="20"/>
          <w:szCs w:val="20"/>
        </w:rPr>
        <w:t xml:space="preserve">Risk Grade — filters to selected risk tiers (A through E)</w:t>
      </w:r>
    </w:p>
    <w:p>
      <w:pPr>
        <w:pStyle w:val="ListParagraph"/>
        <w:numPr>
          <w:ilvl w:val="0"/>
          <w:numId w:val="2"/>
        </w:numPr>
        <w:spacing w:after="40" w:before="40"/>
      </w:pPr>
      <w:r>
        <w:rPr>
          <w:rFonts w:ascii="Arial" w:cs="Arial" w:eastAsia="Arial" w:hAnsi="Arial"/>
          <w:color w:val="555555"/>
          <w:sz w:val="20"/>
          <w:szCs w:val="20"/>
        </w:rPr>
        <w:t xml:space="preserve">Loan Status — filters to selected DPD buckets</w:t>
      </w:r>
    </w:p>
    <w:p>
      <w:pPr>
        <w:spacing w:after="0" w:before="160"/>
      </w:pPr>
      <w:r>
        <w:t xml:space="preserve"/>
      </w:r>
    </w:p>
    <w:p>
      <w:pPr>
        <w:pBdr>
          <w:bottom w:val="single" w:color="185FA5" w:sz="8" w:space="4"/>
        </w:pBdr>
        <w:spacing w:after="120" w:before="440"/>
      </w:pPr>
      <w:r>
        <w:rPr>
          <w:rFonts w:ascii="Arial" w:cs="Arial" w:eastAsia="Arial" w:hAnsi="Arial"/>
          <w:b/>
          <w:bCs/>
          <w:color w:val="1A1A2E"/>
          <w:sz w:val="34"/>
          <w:szCs w:val="34"/>
        </w:rPr>
        <w:t xml:space="preserve">Key Findings</w:t>
      </w:r>
    </w:p>
    <w:p>
      <w:pPr>
        <w:spacing w:after="60" w:before="80"/>
        <w:jc w:val="left"/>
      </w:pPr>
      <w:r>
        <w:rPr>
          <w:rFonts w:ascii="Arial" w:cs="Arial" w:eastAsia="Arial" w:hAnsi="Arial"/>
          <w:b w:val="false"/>
          <w:bCs w:val="false"/>
          <w:color w:val="555555"/>
          <w:sz w:val="20"/>
          <w:szCs w:val="20"/>
        </w:rPr>
        <w:t xml:space="preserve">The dashboard surfaces several actionable insights from the portfolio data:</w:t>
      </w:r>
    </w:p>
    <w:p>
      <w:pPr>
        <w:spacing w:after="60" w:before="200"/>
      </w:pPr>
      <w:r>
        <w:rPr>
          <w:rFonts w:ascii="Arial" w:cs="Arial" w:eastAsia="Arial" w:hAnsi="Arial"/>
          <w:b/>
          <w:bCs/>
          <w:color w:val="1A1A2E"/>
          <w:sz w:val="22"/>
          <w:szCs w:val="22"/>
        </w:rPr>
        <w:t xml:space="preserve">1. Miami Brickell requires immediate management attention</w:t>
      </w:r>
    </w:p>
    <w:p>
      <w:pPr>
        <w:spacing w:after="60" w:before="80"/>
        <w:jc w:val="left"/>
      </w:pPr>
      <w:r>
        <w:rPr>
          <w:rFonts w:ascii="Arial" w:cs="Arial" w:eastAsia="Arial" w:hAnsi="Arial"/>
          <w:b w:val="false"/>
          <w:bCs w:val="false"/>
          <w:color w:val="555555"/>
          <w:sz w:val="20"/>
          <w:szCs w:val="20"/>
        </w:rPr>
        <w:t xml:space="preserve">Miami Brickell has the highest NPL ratio (5.4%), the lowest loan book attainment (87.4%), and the flattest net income trend of all six branches. These three signals together indicate a branch that is both underperforming commercially and carrying disproportionate credit risk. It is the only branch clearly below the critical 90% attainment threshold.</w:t>
      </w:r>
    </w:p>
    <w:p>
      <w:pPr>
        <w:spacing w:after="60" w:before="200"/>
      </w:pPr>
      <w:r>
        <w:rPr>
          <w:rFonts w:ascii="Arial" w:cs="Arial" w:eastAsia="Arial" w:hAnsi="Arial"/>
          <w:b/>
          <w:bCs/>
          <w:color w:val="1A1A2E"/>
          <w:sz w:val="22"/>
          <w:szCs w:val="22"/>
        </w:rPr>
        <w:t xml:space="preserve">2. Mortgage concentration creates portfolio risk</w:t>
      </w:r>
    </w:p>
    <w:p>
      <w:pPr>
        <w:spacing w:after="60" w:before="80"/>
        <w:jc w:val="left"/>
      </w:pPr>
      <w:r>
        <w:rPr>
          <w:rFonts w:ascii="Arial" w:cs="Arial" w:eastAsia="Arial" w:hAnsi="Arial"/>
          <w:b w:val="false"/>
          <w:bCs w:val="false"/>
          <w:color w:val="555555"/>
          <w:sz w:val="20"/>
          <w:szCs w:val="20"/>
        </w:rPr>
        <w:t xml:space="preserve">Mortgage loans dominate the portfolio by outstanding balance. While individual mortgages have relatively low NPL rates due to real estate collateral, the concentration means that a regional housing market downturn could have an outsized impact on portfolio quality.</w:t>
      </w:r>
    </w:p>
    <w:p>
      <w:pPr>
        <w:spacing w:after="60" w:before="200"/>
      </w:pPr>
      <w:r>
        <w:rPr>
          <w:rFonts w:ascii="Arial" w:cs="Arial" w:eastAsia="Arial" w:hAnsi="Arial"/>
          <w:b/>
          <w:bCs/>
          <w:color w:val="1A1A2E"/>
          <w:sz w:val="22"/>
          <w:szCs w:val="22"/>
        </w:rPr>
        <w:t xml:space="preserve">3. Personal loans are the highest-risk product</w:t>
      </w:r>
    </w:p>
    <w:p>
      <w:pPr>
        <w:spacing w:after="60" w:before="80"/>
        <w:jc w:val="left"/>
      </w:pPr>
      <w:r>
        <w:rPr>
          <w:rFonts w:ascii="Arial" w:cs="Arial" w:eastAsia="Arial" w:hAnsi="Arial"/>
          <w:b w:val="false"/>
          <w:bCs w:val="false"/>
          <w:color w:val="555555"/>
          <w:sz w:val="20"/>
          <w:szCs w:val="20"/>
        </w:rPr>
        <w:t xml:space="preserve">Personal loans (unsecured) appear in the majority of the 90+ DPD and 60-89 DPD entries in the loan detail table. Risk grades D and E are almost exclusively assigned to personal loan borrowers with credit scores below 620, confirming that unsecured lending to sub-prime borrowers is the primary driver of delinquency.</w:t>
      </w:r>
    </w:p>
    <w:p>
      <w:pPr>
        <w:spacing w:after="60" w:before="200"/>
      </w:pPr>
      <w:r>
        <w:rPr>
          <w:rFonts w:ascii="Arial" w:cs="Arial" w:eastAsia="Arial" w:hAnsi="Arial"/>
          <w:b/>
          <w:bCs/>
          <w:color w:val="1A1A2E"/>
          <w:sz w:val="22"/>
          <w:szCs w:val="22"/>
        </w:rPr>
        <w:t xml:space="preserve">4. NY Midtown and LA Downtown are model branches</w:t>
      </w:r>
    </w:p>
    <w:p>
      <w:pPr>
        <w:spacing w:after="60" w:before="80"/>
        <w:jc w:val="left"/>
      </w:pPr>
      <w:r>
        <w:rPr>
          <w:rFonts w:ascii="Arial" w:cs="Arial" w:eastAsia="Arial" w:hAnsi="Arial"/>
          <w:b w:val="false"/>
          <w:bCs w:val="false"/>
          <w:color w:val="555555"/>
          <w:sz w:val="20"/>
          <w:szCs w:val="20"/>
        </w:rPr>
        <w:t xml:space="preserve">Both branches show loan attainment above 92%, NPL ratios below 2.8%, and consistent month-over-month net income growth in Q1 2024. Their operational metrics can serve as benchmarks for underperforming branches.</w:t>
      </w:r>
    </w:p>
    <w:p>
      <w:pPr>
        <w:spacing w:after="60" w:before="200"/>
      </w:pPr>
      <w:r>
        <w:rPr>
          <w:rFonts w:ascii="Arial" w:cs="Arial" w:eastAsia="Arial" w:hAnsi="Arial"/>
          <w:b/>
          <w:bCs/>
          <w:color w:val="1A1A2E"/>
          <w:sz w:val="22"/>
          <w:szCs w:val="22"/>
        </w:rPr>
        <w:t xml:space="preserve">5. Credit score distribution reveals a healthy core with a risky tail</w:t>
      </w:r>
    </w:p>
    <w:p>
      <w:pPr>
        <w:spacing w:after="60" w:before="80"/>
        <w:jc w:val="left"/>
      </w:pPr>
      <w:r>
        <w:rPr>
          <w:rFonts w:ascii="Arial" w:cs="Arial" w:eastAsia="Arial" w:hAnsi="Arial"/>
          <w:b w:val="false"/>
          <w:bCs w:val="false"/>
          <w:color w:val="555555"/>
          <w:sz w:val="20"/>
          <w:szCs w:val="20"/>
        </w:rPr>
        <w:t xml:space="preserve">The average credit score of 685.68 suggests a broadly healthy portfolio. However, the drill-through table reveals a tail of borrowers with scores below 580 who are concentrated in personal loans and small business equipment loans — these represent the highest provision burden per dollar of outstanding balance.</w:t>
      </w:r>
    </w:p>
    <w:p>
      <w:pPr>
        <w:spacing w:after="0" w:before="160"/>
      </w:pPr>
      <w:r>
        <w:t xml:space="preserve"/>
      </w:r>
    </w:p>
    <w:p>
      <w:pPr>
        <w:pBdr>
          <w:bottom w:val="single" w:color="185FA5" w:sz="8" w:space="4"/>
        </w:pBdr>
        <w:spacing w:after="120" w:before="440"/>
      </w:pPr>
      <w:r>
        <w:rPr>
          <w:rFonts w:ascii="Arial" w:cs="Arial" w:eastAsia="Arial" w:hAnsi="Arial"/>
          <w:b/>
          <w:bCs/>
          <w:color w:val="1A1A2E"/>
          <w:sz w:val="34"/>
          <w:szCs w:val="34"/>
        </w:rPr>
        <w:t xml:space="preserve">Technical Skills Demonstrated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Skill</w:t>
            </w:r>
          </w:p>
        </w:tc>
        <w:tc>
          <w:tcPr>
            <w:tcW w:type="dxa" w:w="6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How it was applied</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18"/>
                <w:szCs w:val="18"/>
              </w:rPr>
              <w:t xml:space="preserve">Sigma Data Modeling</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555555"/>
                <w:sz w:val="18"/>
                <w:szCs w:val="18"/>
              </w:rPr>
              <w:t xml:space="preserve">Built a 5-table Data Model with star schema design — one fact table (loan_portfolio) connected to 4 dimension/fact tables via Lookup joins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Cross-table Joins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Configured 4 Lookup joins using branch_id and customer_id as join keys, achieving 100% match rate on branch joins and 60% on customer joins (expected given table sizes)</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18"/>
                <w:szCs w:val="18"/>
              </w:rPr>
              <w:t xml:space="preserve">Formula Engineering</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555555"/>
                <w:sz w:val="18"/>
                <w:szCs w:val="18"/>
              </w:rPr>
              <w:t xml:space="preserve">Created 4 calculated columns using Sigma formulas including division, If/Else logic, Number() type conversion, Left() and Len() string functions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KPI Chart Design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Built 8 KPI scorecards across 2 pages using Count Distinct, Sum, and Average aggregations with currency and percentage formatting</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18"/>
                <w:szCs w:val="18"/>
              </w:rPr>
              <w:t xml:space="preserve">Bar &amp; Line Charts</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555555"/>
                <w:sz w:val="18"/>
                <w:szCs w:val="18"/>
              </w:rPr>
              <w:t xml:space="preserve">Built 6 chart elements including vertical bars, horizontal bars, grouped bars, stacked bars, and multi-series line charts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Geographic Mapping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Used Sigma's built-in map chart to plot all 6 US branch locations with attainment-based color coding by state</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18"/>
                <w:szCs w:val="18"/>
              </w:rPr>
              <w:t xml:space="preserve">Interactive Controls</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555555"/>
                <w:sz w:val="18"/>
                <w:szCs w:val="18"/>
              </w:rPr>
              <w:t xml:space="preserve">Implemented 5 filter controls across 2 pages including List Values (multi-select) and Date Range controls wired to chart targets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Conditional Formatting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Applied color gradient rules to bar charts based on calculated attainment percentage thresholds</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18"/>
                <w:szCs w:val="18"/>
              </w:rPr>
              <w:t xml:space="preserve">Drill-Through Tables</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555555"/>
                <w:sz w:val="18"/>
                <w:szCs w:val="18"/>
              </w:rPr>
              <w:t xml:space="preserve">Built a full loan detail table with 13 columns including lookup-joined fields from customers and branches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Financial Domain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Correctly applied NPL ratio, DPD bucketing, loan attainment %, risk grading, and provision coverage concepts throughout</w:t>
            </w:r>
          </w:p>
        </w:tc>
      </w:tr>
    </w:tbl>
    <w:p>
      <w:pPr>
        <w:spacing w:after="0" w:before="160"/>
      </w:pPr>
      <w:r>
        <w:t xml:space="preserve"/>
      </w:r>
    </w:p>
    <w:p>
      <w:pPr>
        <w:pBdr>
          <w:bottom w:val="single" w:color="185FA5" w:sz="8" w:space="4"/>
        </w:pBdr>
        <w:spacing w:after="120" w:before="440"/>
      </w:pPr>
      <w:r>
        <w:rPr>
          <w:rFonts w:ascii="Arial" w:cs="Arial" w:eastAsia="Arial" w:hAnsi="Arial"/>
          <w:b/>
          <w:bCs/>
          <w:color w:val="1A1A2E"/>
          <w:sz w:val="34"/>
          <w:szCs w:val="34"/>
        </w:rPr>
        <w:t xml:space="preserve">Tools &amp; Technologies</w:t>
      </w:r>
    </w:p>
    <w:p>
      <w:pPr>
        <w:pStyle w:val="ListParagraph"/>
        <w:numPr>
          <w:ilvl w:val="0"/>
          <w:numId w:val="2"/>
        </w:numPr>
        <w:spacing w:after="40" w:before="40"/>
      </w:pPr>
      <w:r>
        <w:rPr>
          <w:rFonts w:ascii="Arial" w:cs="Arial" w:eastAsia="Arial" w:hAnsi="Arial"/>
          <w:color w:val="555555"/>
          <w:sz w:val="20"/>
          <w:szCs w:val="20"/>
        </w:rPr>
        <w:t xml:space="preserve">Sigma Computing — cloud analytics platform used for data modeling, calculated columns, and dashboard construction</w:t>
      </w:r>
    </w:p>
    <w:p>
      <w:pPr>
        <w:pStyle w:val="ListParagraph"/>
        <w:numPr>
          <w:ilvl w:val="0"/>
          <w:numId w:val="2"/>
        </w:numPr>
        <w:spacing w:after="40" w:before="40"/>
      </w:pPr>
      <w:r>
        <w:rPr>
          <w:rFonts w:ascii="Arial" w:cs="Arial" w:eastAsia="Arial" w:hAnsi="Arial"/>
          <w:color w:val="555555"/>
          <w:sz w:val="20"/>
          <w:szCs w:val="20"/>
        </w:rPr>
        <w:t xml:space="preserve">Sigma Data Model — used as the data layer for all table joins and metric calculations</w:t>
      </w:r>
    </w:p>
    <w:p>
      <w:pPr>
        <w:pStyle w:val="ListParagraph"/>
        <w:numPr>
          <w:ilvl w:val="0"/>
          <w:numId w:val="2"/>
        </w:numPr>
        <w:spacing w:after="40" w:before="40"/>
      </w:pPr>
      <w:r>
        <w:rPr>
          <w:rFonts w:ascii="Arial" w:cs="Arial" w:eastAsia="Arial" w:hAnsi="Arial"/>
          <w:color w:val="555555"/>
          <w:sz w:val="20"/>
          <w:szCs w:val="20"/>
        </w:rPr>
        <w:t xml:space="preserve">CSV data files — 5 structured financial datasets with 152 total rows across loan, customer, branch, delinquency, and P&amp;L data</w:t>
      </w:r>
    </w:p>
    <w:p>
      <w:pPr>
        <w:pStyle w:val="ListParagraph"/>
        <w:numPr>
          <w:ilvl w:val="0"/>
          <w:numId w:val="2"/>
        </w:numPr>
        <w:spacing w:after="40" w:before="40"/>
      </w:pPr>
      <w:r>
        <w:rPr>
          <w:rFonts w:ascii="Arial" w:cs="Arial" w:eastAsia="Arial" w:hAnsi="Arial"/>
          <w:color w:val="555555"/>
          <w:sz w:val="20"/>
          <w:szCs w:val="20"/>
        </w:rPr>
        <w:t xml:space="preserve">Mapbox (via Sigma) — geographic rendering engine for the US branch map visualization</w:t>
      </w:r>
    </w:p>
    <w:p>
      <w:pPr>
        <w:pStyle w:val="ListParagraph"/>
        <w:numPr>
          <w:ilvl w:val="0"/>
          <w:numId w:val="2"/>
        </w:numPr>
        <w:spacing w:after="40" w:before="40"/>
      </w:pPr>
      <w:r>
        <w:rPr>
          <w:rFonts w:ascii="Arial" w:cs="Arial" w:eastAsia="Arial" w:hAnsi="Arial"/>
          <w:color w:val="555555"/>
          <w:sz w:val="20"/>
          <w:szCs w:val="20"/>
        </w:rPr>
        <w:t xml:space="preserve">GitHub — portfolio hosting for dashboard screenshots, CSV data files, and this case study document</w:t>
      </w:r>
    </w:p>
    <w:p>
      <w:pPr>
        <w:spacing w:after="0" w:before="160"/>
      </w:pPr>
      <w:r>
        <w:t xml:space="preserve"/>
      </w:r>
    </w:p>
    <w:p>
      <w:pPr>
        <w:pBdr>
          <w:bottom w:val="single" w:color="185FA5" w:sz="8" w:space="4"/>
        </w:pBdr>
        <w:spacing w:after="120" w:before="440"/>
      </w:pPr>
      <w:r>
        <w:rPr>
          <w:rFonts w:ascii="Arial" w:cs="Arial" w:eastAsia="Arial" w:hAnsi="Arial"/>
          <w:b/>
          <w:bCs/>
          <w:color w:val="1A1A2E"/>
          <w:sz w:val="34"/>
          <w:szCs w:val="34"/>
        </w:rPr>
        <w:t xml:space="preserve">Conclusion</w:t>
      </w:r>
    </w:p>
    <w:p>
      <w:pPr>
        <w:spacing w:after="60" w:before="80"/>
        <w:jc w:val="left"/>
      </w:pPr>
      <w:r>
        <w:rPr>
          <w:rFonts w:ascii="Arial" w:cs="Arial" w:eastAsia="Arial" w:hAnsi="Arial"/>
          <w:b w:val="false"/>
          <w:bCs w:val="false"/>
          <w:color w:val="555555"/>
          <w:sz w:val="20"/>
          <w:szCs w:val="20"/>
        </w:rPr>
        <w:t xml:space="preserve">This project demonstrates end-to-end analytics capability in Sigma Computing — from raw data ingestion and relational modeling through to production-quality interactive dashboards. Every design decision was driven by a real business question, and every chart was built to deliver a specific insight rather than simply display data.</w:t>
      </w:r>
    </w:p>
    <w:p>
      <w:pPr>
        <w:spacing w:after="60" w:before="80"/>
        <w:jc w:val="left"/>
      </w:pPr>
      <w:r>
        <w:rPr>
          <w:rFonts w:ascii="Arial" w:cs="Arial" w:eastAsia="Arial" w:hAnsi="Arial"/>
          <w:b w:val="false"/>
          <w:bCs w:val="false"/>
          <w:color w:val="555555"/>
          <w:sz w:val="20"/>
          <w:szCs w:val="20"/>
        </w:rPr>
        <w:t xml:space="preserve">The two-page dashboard (Executive Overview and Loan Portfolio) represents a working analytics product that a regional bank's leadership team could use today to monitor portfolio performance, identify at-risk branches, and make data-driven credit decisions. Miami Brickell's performance issues, the personal loan delinquency concentration, and the credit score tail risk are all real insights surfaced by the dashboard that would drive real management action in a live environment.</w:t>
      </w:r>
    </w:p>
    <w:p>
      <w:pPr>
        <w:spacing w:after="60" w:before="80"/>
        <w:jc w:val="left"/>
      </w:pPr>
      <w:r>
        <w:rPr>
          <w:rFonts w:ascii="Arial" w:cs="Arial" w:eastAsia="Arial" w:hAnsi="Arial"/>
          <w:b w:val="false"/>
          <w:bCs w:val="false"/>
          <w:color w:val="555555"/>
          <w:sz w:val="20"/>
          <w:szCs w:val="20"/>
        </w:rPr>
        <w:t xml:space="preserve">Future extensions of this dashboard would include the Risk &amp; Delinquency page (quarterly DPD bucket migration analysis and write-off trend monitoring) and the Branch P&amp;L page (cost-to-income ratio benchmarking and new loan volume forecasting) as outlined in the original project roadmap.</w:t>
      </w:r>
    </w:p>
    <w:p>
      <w:pPr>
        <w:spacing w:after="0" w:before="240"/>
      </w:pPr>
      <w:r>
        <w:t xml:space="preserve"/>
      </w:r>
    </w:p>
    <w:p>
      <w:pPr>
        <w:jc w:val="center"/>
      </w:pPr>
      <w:r>
        <w:rPr>
          <w:rFonts w:ascii="Arial" w:cs="Arial" w:eastAsia="Arial" w:hAnsi="Arial"/>
          <w:color w:val="AAAAAA"/>
          <w:sz w:val="16"/>
          <w:szCs w:val="16"/>
        </w:rPr>
        <w:t xml:space="preserve">US Financial Services Portfolio Dashboard  ·  Built with Sigma Computing  ·  2024</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of </w:t>
    </w:r>
    <w:r>
      <w:rPr>
        <w:rFonts w:ascii="Arial" w:cs="Arial" w:eastAsia="Arial" w:hAnsi="Arial"/>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2026-04-06T16:30:11.632Z</dcterms:created>
  <dcterms:modified xsi:type="dcterms:W3CDTF">2026-04-06T16:30:11.633Z</dcterms:modified>
</cp:coreProperties>
</file>

<file path=docProps/custom.xml><?xml version="1.0" encoding="utf-8"?>
<Properties xmlns="http://schemas.openxmlformats.org/officeDocument/2006/custom-properties" xmlns:vt="http://schemas.openxmlformats.org/officeDocument/2006/docPropsVTypes"/>
</file>