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POLSC 343: American Foreign Policy</w:t>
      </w:r>
    </w:p>
    <w:p>
      <w:pPr>
        <w:spacing w:after="40" w:line="360" w:lineRule="auto"/>
        <w:jc w:val="center"/>
      </w:pPr>
      <w:r>
        <w:rPr>
          <w:sz w:val="26"/>
          <w:szCs w:val="26"/>
        </w:rPr>
        <w:t xml:space="preserve">Exam 1—Answer Key and Grading Notes</w:t>
      </w:r>
    </w:p>
    <w:p>
      <w:pPr>
        <w:spacing w:after="240" w:line="360" w:lineRule="auto"/>
        <w:jc w:val="center"/>
      </w:pPr>
      <w:r>
        <w:rPr>
          <w:i/>
          <w:iCs/>
          <w:sz w:val="20"/>
          <w:szCs w:val="20"/>
        </w:rPr>
        <w:t xml:space="preserve">Instructor copy—do not distribute</w:t>
      </w:r>
    </w:p>
    <w:p>
      <w:pPr>
        <w:pBdr>
          <w:bottom w:val="single" w:color="999999" w:sz="6" w:space="4"/>
        </w:pBdr>
        <w:spacing w:after="200" w:before="120"/>
      </w:pPr>
      <w:r>
        <w:rPr>
          <w:sz w:val="2"/>
          <w:szCs w:val="2"/>
        </w:rPr>
        <w:t xml:space="preserve"/>
      </w:r>
    </w:p>
    <w:p>
      <w:pPr>
        <w:pStyle w:val="Heading1"/>
      </w:pPr>
      <w:r>
        <w:t xml:space="preserve">Quick key</w:t>
      </w:r>
    </w:p>
    <w:p>
      <w:pPr>
        <w:spacing w:after="40" w:before="0" w:line="360" w:lineRule="auto"/>
      </w:pPr>
      <w:r>
        <w:rPr>
          <w:b w:val="false"/>
          <w:bCs w:val="false"/>
          <w:i w:val="false"/>
          <w:iCs w:val="false"/>
          <w:sz w:val="22"/>
          <w:szCs w:val="22"/>
        </w:rPr>
        <w:t xml:space="preserve">1a   2b   3b   4b   5b   6a   7b   8b   9b   10b   11b   12b   13b   14b   15b   16b   17b</w:t>
      </w:r>
    </w:p>
    <w:p>
      <w:pPr>
        <w:spacing w:after="160" w:before="0" w:line="360" w:lineRule="auto"/>
      </w:pPr>
      <w:r>
        <w:rPr>
          <w:b w:val="false"/>
          <w:bCs w:val="false"/>
          <w:i w:val="false"/>
          <w:iCs w:val="false"/>
          <w:sz w:val="22"/>
          <w:szCs w:val="22"/>
        </w:rPr>
        <w:t xml:space="preserve">18T   19F   20F</w:t>
      </w:r>
    </w:p>
    <w:p>
      <w:pPr>
        <w:pStyle w:val="Heading2"/>
      </w:pPr>
      <w:r>
        <w:t xml:space="preserve">Time budget</w:t>
      </w:r>
    </w:p>
    <w:p>
      <w:pPr>
        <w:spacing w:after="120" w:before="0" w:line="360" w:lineRule="auto"/>
      </w:pPr>
      <w:r>
        <w:rPr>
          <w:b w:val="false"/>
          <w:bCs w:val="false"/>
          <w:i w:val="false"/>
          <w:iCs w:val="false"/>
          <w:sz w:val="22"/>
          <w:szCs w:val="22"/>
        </w:rPr>
        <w:t xml:space="preserve">7 of the 20 objective items (35%) are basic recall and should take 20–30 seconds each. The remaining 13 are analytic and run 60–90 seconds. Part I therefore lands near 18 minutes of working time for a prepared student, 21 with a review pass. Two paragraphs of 150 words, handwritten at roughly 18 words per minute with a minute of planning each, run about 19 minutes. Total working time is near 40 minutes, which leaves slack in a 50-minute period for distribution, settling, and the students who write slowly.</w:t>
      </w:r>
    </w:p>
    <w:p>
      <w:pPr>
        <w:spacing w:after="160" w:before="0" w:line="360" w:lineRule="auto"/>
      </w:pPr>
      <w:r>
        <w:rPr>
          <w:b w:val="false"/>
          <w:bCs w:val="false"/>
          <w:i/>
          <w:iCs/>
          <w:sz w:val="22"/>
          <w:szCs w:val="22"/>
        </w:rPr>
        <w:t xml:space="preserve">If the room still runs long, cut Question 2 of Part II and raise Part I to 4 points per item. Do not cut Part I items to buy time—they are the cheap minutes.</w:t>
      </w:r>
    </w:p>
    <w:p>
      <w:pPr>
        <w:pStyle w:val="Heading1"/>
      </w:pPr>
      <w:r>
        <w:t xml:space="preserve">Section A. Multiple choice</w:t>
      </w:r>
    </w:p>
    <w:p>
      <w:pPr>
        <w:keepNext/>
        <w:keepLines/>
        <w:spacing w:after="50" w:before="200" w:line="360" w:lineRule="auto"/>
        <w:ind w:left="400" w:hanging="400"/>
      </w:pPr>
      <w:r>
        <w:rPr>
          <w:b/>
          <w:bCs/>
          <w:sz w:val="22"/>
          <w:szCs w:val="22"/>
        </w:rPr>
        <w:t xml:space="preserve">1.   a. An economic doctrine holding that military power and economic influence complement each other, with policies favoring the mother country over its colonies and competitors.</w:t>
      </w:r>
      <w:r>
        <w:rPr>
          <w:b w:val="false"/>
          <w:bCs w:val="false"/>
          <w:sz w:val="19"/>
          <w:szCs w:val="19"/>
        </w:rPr>
        <w:t xml:space="preserve">   [recall]</w:t>
      </w:r>
    </w:p>
    <w:p>
      <w:pPr>
        <w:keepLines/>
        <w:spacing w:after="40" w:line="360" w:lineRule="auto"/>
        <w:ind w:left="400"/>
      </w:pPr>
      <w:r>
        <w:rPr>
          <w:i/>
          <w:iCs/>
          <w:sz w:val="21"/>
          <w:szCs w:val="21"/>
        </w:rPr>
        <w:t xml:space="preserve">Straight from the glossary (Frieden, Lake and Schultz). (b) is the Smith/Kant position mercantilism opposes; (c) is autarky; (d) describes early US revenue policy, not the doctrine.</w:t>
      </w:r>
    </w:p>
    <w:p>
      <w:pPr>
        <w:keepNext/>
        <w:keepLines/>
        <w:spacing w:after="50" w:before="200" w:line="360" w:lineRule="auto"/>
        <w:ind w:left="400" w:hanging="400"/>
      </w:pPr>
      <w:r>
        <w:rPr>
          <w:b/>
          <w:bCs/>
          <w:sz w:val="22"/>
          <w:szCs w:val="22"/>
        </w:rPr>
        <w:t xml:space="preserve">2.   b. 1803, for $15 million, financed by Napoleon’s need for revenue for his European wars.</w:t>
      </w:r>
      <w:r>
        <w:rPr>
          <w:b w:val="false"/>
          <w:bCs w:val="false"/>
          <w:sz w:val="19"/>
          <w:szCs w:val="19"/>
        </w:rPr>
        <w:t xml:space="preserve">   [recall]</w:t>
      </w:r>
    </w:p>
    <w:p>
      <w:pPr>
        <w:keepLines/>
        <w:spacing w:after="40" w:line="360" w:lineRule="auto"/>
        <w:ind w:left="400"/>
      </w:pPr>
      <w:r>
        <w:rPr>
          <w:i/>
          <w:iCs/>
          <w:sz w:val="21"/>
          <w:szCs w:val="21"/>
        </w:rPr>
        <w:t xml:space="preserve">1803, $15 million. Two related facts worth crediting if a student volunteers them: the Haitian revolt had already wrecked French ambitions in North America, and Livingston exceeded his instructions in making the deal.</w:t>
      </w:r>
    </w:p>
    <w:p>
      <w:pPr>
        <w:keepNext/>
        <w:keepLines/>
        <w:spacing w:after="50" w:before="200" w:line="360" w:lineRule="auto"/>
        <w:ind w:left="400" w:hanging="400"/>
      </w:pPr>
      <w:r>
        <w:rPr>
          <w:b/>
          <w:bCs/>
          <w:sz w:val="22"/>
          <w:szCs w:val="22"/>
        </w:rPr>
        <w:t xml:space="preserve">3.   b. Its list of grievances includes foreign policy grievances—restrictions on colonial trade, the quartering of troops, and the use of foreign mercenaries—and its universal language about rights becomes a standard later generations hold the US to, at home and abroad.</w:t>
      </w:r>
      <w:r>
        <w:rPr>
          <w:b w:val="false"/>
          <w:bCs w:val="false"/>
          <w:sz w:val="19"/>
          <w:szCs w:val="19"/>
        </w:rPr>
        <w:t xml:space="preserve">   [analytic]</w:t>
      </w:r>
    </w:p>
    <w:p>
      <w:pPr>
        <w:keepLines/>
        <w:spacing w:after="40" w:line="360" w:lineRule="auto"/>
        <w:ind w:left="400"/>
      </w:pPr>
      <w:r>
        <w:rPr>
          <w:i/>
          <w:iCs/>
          <w:sz w:val="21"/>
          <w:szCs w:val="21"/>
        </w:rPr>
        <w:t xml:space="preserve">Two halves. The grievance list is substantially about trade, troops and mercenaries; and the universal rights language becomes the standard invoked by the National Negro Congress petition in 1946 and by Dudziak’s actors in the 1950s.</w:t>
      </w:r>
    </w:p>
    <w:p>
      <w:pPr>
        <w:keepNext/>
        <w:keepLines/>
        <w:spacing w:after="50" w:before="200" w:line="360" w:lineRule="auto"/>
        <w:ind w:left="400" w:hanging="400"/>
      </w:pPr>
      <w:r>
        <w:rPr>
          <w:b/>
          <w:bCs/>
          <w:sz w:val="22"/>
          <w:szCs w:val="22"/>
        </w:rPr>
        <w:t xml:space="preserve">4.   b. It argues that a permanent standing army concentrated in federal hands endangers liberty—a warning worth reading against the permanent establishment the US actually built after 1945.</w:t>
      </w:r>
      <w:r>
        <w:rPr>
          <w:b w:val="false"/>
          <w:bCs w:val="false"/>
          <w:sz w:val="19"/>
          <w:szCs w:val="19"/>
        </w:rPr>
        <w:t xml:space="preserve">   [analytic]</w:t>
      </w:r>
    </w:p>
    <w:p>
      <w:pPr>
        <w:keepLines/>
        <w:spacing w:after="40" w:line="360" w:lineRule="auto"/>
        <w:ind w:left="400"/>
      </w:pPr>
      <w:r>
        <w:rPr>
          <w:i/>
          <w:iCs/>
          <w:sz w:val="21"/>
          <w:szCs w:val="21"/>
        </w:rPr>
        <w:t xml:space="preserve">(d) inverts the document—Brutus is Anti-Federalist. The pairing carries an argument: founding-era wariness of standing armies establishes that the post-1945 establishment is a rupture, not an American tradition.</w:t>
      </w:r>
    </w:p>
    <w:p>
      <w:pPr>
        <w:keepNext/>
        <w:keepLines/>
        <w:spacing w:after="50" w:before="200" w:line="360" w:lineRule="auto"/>
        <w:ind w:left="400" w:hanging="400"/>
      </w:pPr>
      <w:r>
        <w:rPr>
          <w:b/>
          <w:bCs/>
          <w:sz w:val="22"/>
          <w:szCs w:val="22"/>
        </w:rPr>
        <w:t xml:space="preserve">5.   b. America should be the well-wisher of freedom everywhere but the champion and vindicator only of her own, and that involvement in foreign wars would change the fundamental maxims of American policy.</w:t>
      </w:r>
      <w:r>
        <w:rPr>
          <w:b w:val="false"/>
          <w:bCs w:val="false"/>
          <w:sz w:val="19"/>
          <w:szCs w:val="19"/>
        </w:rPr>
        <w:t xml:space="preserve">   [analytic]</w:t>
      </w:r>
    </w:p>
    <w:p>
      <w:pPr>
        <w:keepLines/>
        <w:spacing w:after="40" w:line="360" w:lineRule="auto"/>
        <w:ind w:left="400"/>
      </w:pPr>
      <w:r>
        <w:rPr>
          <w:i/>
          <w:iCs/>
          <w:sz w:val="21"/>
          <w:szCs w:val="21"/>
        </w:rPr>
        <w:t xml:space="preserve">The warning about altered maxims does the analytic work—it is a claim about what intervention does to the intervening state, not merely about cost or risk. Puts Adams in the same column as Brutus X and the Farewell Address.</w:t>
      </w:r>
    </w:p>
    <w:p>
      <w:pPr>
        <w:keepNext/>
        <w:keepLines/>
        <w:spacing w:after="50" w:before="200" w:line="360" w:lineRule="auto"/>
        <w:ind w:left="400" w:hanging="400"/>
      </w:pPr>
      <w:r>
        <w:rPr>
          <w:b/>
          <w:bCs/>
          <w:sz w:val="22"/>
          <w:szCs w:val="22"/>
        </w:rPr>
        <w:t xml:space="preserve">6.   a. It coincided with the closing of the frontier and therefore framed the immediate question of whether overseas colonies could serve the function the frontier had.</w:t>
      </w:r>
      <w:r>
        <w:rPr>
          <w:b w:val="false"/>
          <w:bCs w:val="false"/>
          <w:sz w:val="19"/>
          <w:szCs w:val="19"/>
        </w:rPr>
        <w:t xml:space="preserve">   [analytic]</w:t>
      </w:r>
    </w:p>
    <w:p>
      <w:pPr>
        <w:keepLines/>
        <w:spacing w:after="40" w:line="360" w:lineRule="auto"/>
        <w:ind w:left="400"/>
      </w:pPr>
      <w:r>
        <w:rPr>
          <w:i/>
          <w:iCs/>
          <w:sz w:val="21"/>
          <w:szCs w:val="21"/>
        </w:rPr>
        <w:t xml:space="preserve">The thesis arrives as the frontier is declared closed, and the expansion debate follows immediately—live questions in the 1890s, not retrospective ones. (d) is the 1870s.</w:t>
      </w:r>
    </w:p>
    <w:p>
      <w:pPr>
        <w:keepNext/>
        <w:keepLines/>
        <w:spacing w:after="50" w:before="200" w:line="360" w:lineRule="auto"/>
        <w:ind w:left="400" w:hanging="400"/>
      </w:pPr>
      <w:r>
        <w:rPr>
          <w:b/>
          <w:bCs/>
          <w:sz w:val="22"/>
          <w:szCs w:val="22"/>
        </w:rPr>
        <w:t xml:space="preserve">7.   b. The Philippines, Guam, and Puerto Rico, along with a qualified position in Cuba; Hawaii was annexed separately the same year.</w:t>
      </w:r>
      <w:r>
        <w:rPr>
          <w:b w:val="false"/>
          <w:bCs w:val="false"/>
          <w:sz w:val="19"/>
          <w:szCs w:val="19"/>
        </w:rPr>
        <w:t xml:space="preserve">   [recall]</w:t>
      </w:r>
    </w:p>
    <w:p>
      <w:pPr>
        <w:keepLines/>
        <w:spacing w:after="40" w:line="360" w:lineRule="auto"/>
        <w:ind w:left="400"/>
      </w:pPr>
      <w:r>
        <w:rPr>
          <w:i/>
          <w:iCs/>
          <w:sz w:val="21"/>
          <w:szCs w:val="21"/>
        </w:rPr>
        <w:t xml:space="preserve">Hawaii was annexed in July 1898 on its own strategic logic—Pacific position and fear that a rising Japan would take it—not as a spoil of the war. Cuba is the qualified case (Guantanamo Bay).</w:t>
      </w:r>
    </w:p>
    <w:p>
      <w:pPr>
        <w:keepNext/>
        <w:keepLines/>
        <w:spacing w:after="50" w:before="200" w:line="360" w:lineRule="auto"/>
        <w:ind w:left="400" w:hanging="400"/>
      </w:pPr>
      <w:r>
        <w:rPr>
          <w:b/>
          <w:bCs/>
          <w:sz w:val="22"/>
          <w:szCs w:val="22"/>
        </w:rPr>
        <w:t xml:space="preserve">8.   b. Removal of economic barriers, self-determination, and a general association of nations—which reappear as the Bretton Woods system, the handling of colonial territories, and the UN.</w:t>
      </w:r>
      <w:r>
        <w:rPr>
          <w:b w:val="false"/>
          <w:bCs w:val="false"/>
          <w:sz w:val="19"/>
          <w:szCs w:val="19"/>
        </w:rPr>
        <w:t xml:space="preserve">   [analytic]</w:t>
      </w:r>
    </w:p>
    <w:p>
      <w:pPr>
        <w:keepLines/>
        <w:spacing w:after="40" w:line="360" w:lineRule="auto"/>
        <w:ind w:left="400"/>
      </w:pPr>
      <w:r>
        <w:rPr>
          <w:i/>
          <w:iCs/>
          <w:sz w:val="21"/>
          <w:szCs w:val="21"/>
        </w:rPr>
        <w:t xml:space="preserve">The blueprint fails in 1919 and largely succeeds, altered, after 1945—the contrast the unit is built around. (c) is wrong because the naval conferences lapse rather than institutionalize anything.</w:t>
      </w:r>
    </w:p>
    <w:p>
      <w:pPr>
        <w:keepNext/>
        <w:keepLines/>
        <w:spacing w:after="50" w:before="200" w:line="360" w:lineRule="auto"/>
        <w:ind w:left="400" w:hanging="400"/>
      </w:pPr>
      <w:r>
        <w:rPr>
          <w:b/>
          <w:bCs/>
          <w:sz w:val="22"/>
          <w:szCs w:val="22"/>
        </w:rPr>
        <w:t xml:space="preserve">9.   b. Ending the Pacific war quickly was also a means of limiting Soviet involvement in the Pacific and in the postwar settlement.</w:t>
      </w:r>
      <w:r>
        <w:rPr>
          <w:b w:val="false"/>
          <w:bCs w:val="false"/>
          <w:sz w:val="19"/>
          <w:szCs w:val="19"/>
        </w:rPr>
        <w:t xml:space="preserve">   [analytic]</w:t>
      </w:r>
    </w:p>
    <w:p>
      <w:pPr>
        <w:keepLines/>
        <w:spacing w:after="40" w:line="360" w:lineRule="auto"/>
        <w:ind w:left="400"/>
      </w:pPr>
      <w:r>
        <w:rPr>
          <w:i/>
          <w:iCs/>
          <w:sz w:val="21"/>
          <w:szCs w:val="21"/>
        </w:rPr>
        <w:t xml:space="preserve">(a) is false—Truman learned of the project only on taking office, April 12, 1945. (c) inverts the scarcity argument. (d) inverts Stimson, who opposed a demonstration and removed Kyoto from the target list.</w:t>
      </w:r>
    </w:p>
    <w:p>
      <w:pPr>
        <w:keepNext/>
        <w:keepLines/>
        <w:spacing w:after="50" w:before="200" w:line="360" w:lineRule="auto"/>
        <w:ind w:left="400" w:hanging="400"/>
      </w:pPr>
      <w:r>
        <w:rPr>
          <w:b/>
          <w:bCs/>
          <w:sz w:val="22"/>
          <w:szCs w:val="22"/>
        </w:rPr>
        <w:t xml:space="preserve">10.   b. George Kennan wrote the Long Telegram and the X Article; Paul Nitze was principal author of NSC-68.</w:t>
      </w:r>
      <w:r>
        <w:rPr>
          <w:b w:val="false"/>
          <w:bCs w:val="false"/>
          <w:sz w:val="19"/>
          <w:szCs w:val="19"/>
        </w:rPr>
        <w:t xml:space="preserve">   [recall]</w:t>
      </w:r>
    </w:p>
    <w:p>
      <w:pPr>
        <w:keepLines/>
        <w:spacing w:after="40" w:line="360" w:lineRule="auto"/>
        <w:ind w:left="400"/>
      </w:pPr>
      <w:r>
        <w:rPr>
          <w:i/>
          <w:iCs/>
          <w:sz w:val="21"/>
          <w:szCs w:val="21"/>
        </w:rPr>
        <w:t xml:space="preserve">Kennan: Long Telegram (1946) and “The Sources of Soviet Conduct” (Foreign Affairs, 1947). Nitze: NSC-68 (1950). (a) is the trap—the names reversed.</w:t>
      </w:r>
    </w:p>
    <w:p>
      <w:pPr>
        <w:keepNext/>
        <w:keepLines/>
        <w:spacing w:after="50" w:before="200" w:line="360" w:lineRule="auto"/>
        <w:ind w:left="400" w:hanging="400"/>
      </w:pPr>
      <w:r>
        <w:rPr>
          <w:b/>
          <w:bCs/>
          <w:sz w:val="22"/>
          <w:szCs w:val="22"/>
        </w:rPr>
        <w:t xml:space="preserve">11.   b. The X Article prescribed long-term, patient but firm and vigilant containment applied largely through non-military counter-pressure; NSC-68 called for a large, sustained military buildup—implying a different kind of American state.</w:t>
      </w:r>
      <w:r>
        <w:rPr>
          <w:b w:val="false"/>
          <w:bCs w:val="false"/>
          <w:sz w:val="19"/>
          <w:szCs w:val="19"/>
        </w:rPr>
        <w:t xml:space="preserve">   [analytic]</w:t>
      </w:r>
    </w:p>
    <w:p>
      <w:pPr>
        <w:keepLines/>
        <w:spacing w:after="40" w:line="360" w:lineRule="auto"/>
        <w:ind w:left="400"/>
      </w:pPr>
      <w:r>
        <w:rPr>
          <w:i/>
          <w:iCs/>
          <w:sz w:val="21"/>
          <w:szCs w:val="21"/>
        </w:rPr>
        <w:t xml:space="preserve">Containment was never one policy: same diagnosis of Soviet conduct, different means, and a different state required to carry it out. The stem names the documents rather than their authors so it does not give away Q10.</w:t>
      </w:r>
    </w:p>
    <w:p>
      <w:pPr>
        <w:keepNext/>
        <w:keepLines/>
        <w:spacing w:after="50" w:before="200" w:line="360" w:lineRule="auto"/>
        <w:ind w:left="400" w:hanging="400"/>
      </w:pPr>
      <w:r>
        <w:rPr>
          <w:b/>
          <w:bCs/>
          <w:sz w:val="22"/>
          <w:szCs w:val="22"/>
        </w:rPr>
        <w:t xml:space="preserve">12.   b. Discouraging another actor from taking an action by making the negative consequences of that action clear—which requires that the threat be credible.</w:t>
      </w:r>
      <w:r>
        <w:rPr>
          <w:b w:val="false"/>
          <w:bCs w:val="false"/>
          <w:sz w:val="19"/>
          <w:szCs w:val="19"/>
        </w:rPr>
        <w:t xml:space="preserve">   [recall]</w:t>
      </w:r>
    </w:p>
    <w:p>
      <w:pPr>
        <w:keepLines/>
        <w:spacing w:after="40" w:line="360" w:lineRule="auto"/>
        <w:ind w:left="400"/>
      </w:pPr>
      <w:r>
        <w:rPr>
          <w:i/>
          <w:iCs/>
          <w:sz w:val="21"/>
          <w:szCs w:val="21"/>
        </w:rPr>
        <w:t xml:space="preserve">Discouraging, not reversing—(a) is compellence. (c) is burden sharing and (d) is the security dilemma, both also on the glossary. Credibility is the part that must appear for full credit.</w:t>
      </w:r>
    </w:p>
    <w:p>
      <w:pPr>
        <w:keepNext/>
        <w:keepLines/>
        <w:spacing w:after="50" w:before="200" w:line="360" w:lineRule="auto"/>
        <w:ind w:left="400" w:hanging="400"/>
      </w:pPr>
      <w:r>
        <w:rPr>
          <w:b/>
          <w:bCs/>
          <w:sz w:val="22"/>
          <w:szCs w:val="22"/>
        </w:rPr>
        <w:t xml:space="preserve">13.   b. Unilateral action would provoke backlash and erode the buy-in and legitimacy on which a rules-based order depends, so binding itself was a condition of the order’s durability.</w:t>
      </w:r>
      <w:r>
        <w:rPr>
          <w:b w:val="false"/>
          <w:bCs w:val="false"/>
          <w:sz w:val="19"/>
          <w:szCs w:val="19"/>
        </w:rPr>
        <w:t xml:space="preserve">   [analytic]</w:t>
      </w:r>
    </w:p>
    <w:p>
      <w:pPr>
        <w:keepLines/>
        <w:spacing w:after="40" w:line="360" w:lineRule="auto"/>
        <w:ind w:left="400"/>
      </w:pPr>
      <w:r>
        <w:rPr>
          <w:i/>
          <w:iCs/>
          <w:sz w:val="21"/>
          <w:szCs w:val="21"/>
        </w:rPr>
        <w:t xml:space="preserve">Note the related qualification from lecture: hegemony is a preponderance of power, not the ability to get everything you want—(d) confuses the two. (c) inverts the NATO story, in which the US insisted the Europeans ask.</w:t>
      </w:r>
    </w:p>
    <w:p>
      <w:pPr>
        <w:keepNext/>
        <w:keepLines/>
        <w:spacing w:after="50" w:before="200" w:line="360" w:lineRule="auto"/>
        <w:ind w:left="400" w:hanging="400"/>
      </w:pPr>
      <w:r>
        <w:rPr>
          <w:b/>
          <w:bCs/>
          <w:sz w:val="22"/>
          <w:szCs w:val="22"/>
        </w:rPr>
        <w:t xml:space="preserve">14.   b. That the communist world was deeply divided from the start, yet US policymakers routinely described it as a single bloc and underestimated those divisions even when contrary evidence was available.</w:t>
      </w:r>
      <w:r>
        <w:rPr>
          <w:b w:val="false"/>
          <w:bCs w:val="false"/>
          <w:sz w:val="19"/>
          <w:szCs w:val="19"/>
        </w:rPr>
        <w:t xml:space="preserve">   [analytic]</w:t>
      </w:r>
    </w:p>
    <w:p>
      <w:pPr>
        <w:keepLines/>
        <w:spacing w:after="40" w:line="360" w:lineRule="auto"/>
        <w:ind w:left="400"/>
      </w:pPr>
      <w:r>
        <w:rPr>
          <w:i/>
          <w:iCs/>
          <w:sz w:val="21"/>
          <w:szCs w:val="21"/>
        </w:rPr>
        <w:t xml:space="preserve">Acheson on Tito—“he might be a son of a bitch, but he’s our son of a bitch”—shows the split was recognized and exploited in that one case, which makes the general misreading harder to excuse rather than easier. (d) overstates: the US aided Tito without revising the monolith premise.</w:t>
      </w:r>
    </w:p>
    <w:p>
      <w:pPr>
        <w:keepNext/>
        <w:keepLines/>
        <w:spacing w:after="50" w:before="200" w:line="360" w:lineRule="auto"/>
        <w:ind w:left="400" w:hanging="400"/>
      </w:pPr>
      <w:r>
        <w:rPr>
          <w:b/>
          <w:bCs/>
          <w:sz w:val="22"/>
          <w:szCs w:val="22"/>
        </w:rPr>
        <w:t xml:space="preserve">15.   b. That foreign aid sits structurally between humanitarian purpose and strategic instrument, and that the tension is built into the enterprise rather than incidental to it.</w:t>
      </w:r>
      <w:r>
        <w:rPr>
          <w:b w:val="false"/>
          <w:bCs w:val="false"/>
          <w:sz w:val="19"/>
          <w:szCs w:val="19"/>
        </w:rPr>
        <w:t xml:space="preserve">   [analytic]</w:t>
      </w:r>
    </w:p>
    <w:p>
      <w:pPr>
        <w:keepLines/>
        <w:spacing w:after="40" w:line="360" w:lineRule="auto"/>
        <w:ind w:left="400"/>
      </w:pPr>
      <w:r>
        <w:rPr>
          <w:i/>
          <w:iCs/>
          <w:sz w:val="21"/>
          <w:szCs w:val="21"/>
        </w:rPr>
        <w:t xml:space="preserve">Structural, not a phase the agency passed through—which is what makes (a) the attractive wrong answer. The ideals-versus-interests theme in institutional form, and the basis of the Week 4 discussion question.</w:t>
      </w:r>
    </w:p>
    <w:p>
      <w:pPr>
        <w:keepNext/>
        <w:keepLines/>
        <w:spacing w:after="50" w:before="200" w:line="360" w:lineRule="auto"/>
        <w:ind w:left="400" w:hanging="400"/>
      </w:pPr>
      <w:r>
        <w:rPr>
          <w:b/>
          <w:bCs/>
          <w:sz w:val="22"/>
          <w:szCs w:val="22"/>
        </w:rPr>
        <w:t xml:space="preserve">16.   b. Party positions were not fixed: Republicans were the fiscally wary party in the early Cold War, and their positions shifted as defense dollars and Republican electoral strength both migrated to the South and West.</w:t>
      </w:r>
      <w:r>
        <w:rPr>
          <w:b w:val="false"/>
          <w:bCs w:val="false"/>
          <w:sz w:val="19"/>
          <w:szCs w:val="19"/>
        </w:rPr>
        <w:t xml:space="preserve">   [analytic]</w:t>
      </w:r>
    </w:p>
    <w:p>
      <w:pPr>
        <w:keepLines/>
        <w:spacing w:after="40" w:line="360" w:lineRule="auto"/>
        <w:ind w:left="400"/>
      </w:pPr>
      <w:r>
        <w:rPr>
          <w:i/>
          <w:iCs/>
          <w:sz w:val="21"/>
          <w:szCs w:val="21"/>
        </w:rPr>
        <w:t xml:space="preserve">Finding plus mechanism—and the mechanism is geographic and economic, which is why the stickiness of bases sited in the 1940s matters so much to the argument.</w:t>
      </w:r>
    </w:p>
    <w:p>
      <w:pPr>
        <w:keepNext/>
        <w:keepLines/>
        <w:spacing w:after="50" w:before="200" w:line="360" w:lineRule="auto"/>
        <w:ind w:left="400" w:hanging="400"/>
      </w:pPr>
      <w:r>
        <w:rPr>
          <w:b/>
          <w:bCs/>
          <w:sz w:val="22"/>
          <w:szCs w:val="22"/>
        </w:rPr>
        <w:t xml:space="preserve">17.   b. American segregation was a propaganda liability abroad, giving federal policymakers an international incentive to support desegregation that was independent of domestic moral or electoral pressure.</w:t>
      </w:r>
      <w:r>
        <w:rPr>
          <w:b w:val="false"/>
          <w:bCs w:val="false"/>
          <w:sz w:val="19"/>
          <w:szCs w:val="19"/>
        </w:rPr>
        <w:t xml:space="preserve">   [analytic]</w:t>
      </w:r>
    </w:p>
    <w:p>
      <w:pPr>
        <w:keepLines/>
        <w:spacing w:after="40" w:line="360" w:lineRule="auto"/>
        <w:ind w:left="400"/>
      </w:pPr>
      <w:r>
        <w:rPr>
          <w:i/>
          <w:iCs/>
          <w:sz w:val="21"/>
          <w:szCs w:val="21"/>
        </w:rPr>
        <w:t xml:space="preserve">The Justice Department’s amicus filings are the evidence to cite. (d) describes a real dynamic of the period—red-baiting of rights claims—but it is not Dudziak’s thesis.</w:t>
      </w:r>
    </w:p>
    <w:p>
      <w:pPr>
        <w:pStyle w:val="Heading1"/>
      </w:pPr>
      <w:r>
        <w:t xml:space="preserve">Section B. True or false</w:t>
      </w:r>
    </w:p>
    <w:p>
      <w:pPr>
        <w:keepNext/>
        <w:keepLines/>
        <w:spacing w:after="50" w:before="200" w:line="360" w:lineRule="auto"/>
        <w:ind w:left="400" w:hanging="400"/>
      </w:pPr>
      <w:r>
        <w:rPr>
          <w:b/>
          <w:bCs/>
          <w:sz w:val="22"/>
          <w:szCs w:val="22"/>
        </w:rPr>
        <w:t xml:space="preserve">18.   TRUE</w:t>
      </w:r>
      <w:r>
        <w:rPr>
          <w:sz w:val="19"/>
          <w:szCs w:val="19"/>
        </w:rPr>
        <w:t xml:space="preserve">   [recall]</w:t>
      </w:r>
    </w:p>
    <w:p>
      <w:pPr>
        <w:keepLines/>
        <w:spacing w:after="40" w:line="360" w:lineRule="auto"/>
        <w:ind w:left="400"/>
      </w:pPr>
      <w:r>
        <w:rPr>
          <w:i/>
          <w:iCs/>
          <w:sz w:val="21"/>
          <w:szCs w:val="21"/>
        </w:rPr>
        <w:t xml:space="preserve">True. Worth remembering alongside the analytic point: it was a justifying slogan deployed by varied coalitions, not a single coherent doctrine.</w:t>
      </w:r>
    </w:p>
    <w:p>
      <w:pPr>
        <w:keepNext/>
        <w:keepLines/>
        <w:spacing w:after="50" w:before="200" w:line="360" w:lineRule="auto"/>
        <w:ind w:left="400" w:hanging="400"/>
      </w:pPr>
      <w:r>
        <w:rPr>
          <w:b/>
          <w:bCs/>
          <w:sz w:val="22"/>
          <w:szCs w:val="22"/>
        </w:rPr>
        <w:t xml:space="preserve">19.   FALSE</w:t>
      </w:r>
      <w:r>
        <w:rPr>
          <w:sz w:val="19"/>
          <w:szCs w:val="19"/>
        </w:rPr>
        <w:t xml:space="preserve">   [recall]</w:t>
      </w:r>
    </w:p>
    <w:p>
      <w:pPr>
        <w:keepLines/>
        <w:spacing w:after="40" w:line="360" w:lineRule="auto"/>
        <w:ind w:left="400"/>
      </w:pPr>
      <w:r>
        <w:rPr>
          <w:i/>
          <w:iCs/>
          <w:sz w:val="21"/>
          <w:szCs w:val="21"/>
        </w:rPr>
        <w:t xml:space="preserve">False—the two are being conflated. The Truman Doctrine is Truman’s March 1947 speech before Congress; Marshall’s June 1947 Harvard address announced the European Recovery Program.</w:t>
      </w:r>
    </w:p>
    <w:p>
      <w:pPr>
        <w:keepNext/>
        <w:keepLines/>
        <w:spacing w:after="50" w:before="200" w:line="360" w:lineRule="auto"/>
        <w:ind w:left="400" w:hanging="400"/>
      </w:pPr>
      <w:r>
        <w:rPr>
          <w:b/>
          <w:bCs/>
          <w:sz w:val="22"/>
          <w:szCs w:val="22"/>
        </w:rPr>
        <w:t xml:space="preserve">20.   FALSE</w:t>
      </w:r>
      <w:r>
        <w:rPr>
          <w:sz w:val="19"/>
          <w:szCs w:val="19"/>
        </w:rPr>
        <w:t xml:space="preserve">   [analytic]</w:t>
      </w:r>
    </w:p>
    <w:p>
      <w:pPr>
        <w:keepLines/>
        <w:spacing w:after="40" w:line="360" w:lineRule="auto"/>
        <w:ind w:left="400"/>
      </w:pPr>
      <w:r>
        <w:rPr>
          <w:i/>
          <w:iCs/>
          <w:sz w:val="21"/>
          <w:szCs w:val="21"/>
        </w:rPr>
        <w:t xml:space="preserve">False. Recovery was underway before the war, and the cuts to federal spending between 1936 and 1938—roughly 20 percent in nominal terms—stalled it and pushed the country back into recession. The study guide flags this belief as both inaccurate and dangerous, the danger being the implication that war is a growth strategy.</w:t>
      </w:r>
    </w:p>
    <w:p>
      <w:r>
        <w:br w:type="page"/>
      </w:r>
    </w:p>
    <w:p>
      <w:pPr>
        <w:pStyle w:val="Heading1"/>
      </w:pPr>
      <w:r>
        <w:t xml:space="preserve">Part II. Short answer rubrics</w:t>
      </w:r>
    </w:p>
    <w:p>
      <w:pPr>
        <w:spacing w:after="160" w:before="0" w:line="360" w:lineRule="auto"/>
      </w:pPr>
      <w:r>
        <w:rPr>
          <w:b w:val="false"/>
          <w:bCs w:val="false"/>
          <w:i/>
          <w:iCs/>
          <w:sz w:val="22"/>
          <w:szCs w:val="22"/>
        </w:rPr>
        <w:t xml:space="preserve">20 points each. Suggested allocation: 14 points for the required elements below, 6 for precision and organization. These are one-paragraph answers—grade for whether the student can state the distinction cleanly, not for how much they can fit on the page. An answer that recites correct facts without explaining how they connect caps at 10.</w:t>
      </w:r>
    </w:p>
    <w:p>
      <w:pPr>
        <w:pStyle w:val="Heading2"/>
      </w:pPr>
      <w:r>
        <w:t xml:space="preserve">Question 1</w:t>
      </w:r>
    </w:p>
    <w:p>
      <w:pPr>
        <w:spacing w:after="120" w:line="360" w:lineRule="auto"/>
      </w:pPr>
      <w:r>
        <w:rPr>
          <w:i/>
          <w:iCs/>
          <w:sz w:val="22"/>
          <w:szCs w:val="22"/>
        </w:rPr>
        <w:t xml:space="preserve">Washington’s Farewell Address is routinely cited as a call for isolationism. Explain why that reading is imprecise, and state what the Address actually recommends.</w:t>
      </w:r>
    </w:p>
    <w:p>
      <w:pPr>
        <w:spacing w:after="100" w:line="360" w:lineRule="auto"/>
        <w:ind w:left="400" w:hanging="240"/>
      </w:pPr>
      <w:r>
        <w:rPr>
          <w:sz w:val="22"/>
          <w:szCs w:val="22"/>
        </w:rPr>
        <w:t xml:space="preserve">•   </w:t>
      </w:r>
      <w:r>
        <w:rPr>
          <w:sz w:val="22"/>
          <w:szCs w:val="22"/>
        </w:rPr>
        <w:t xml:space="preserve">Required for full credit—what the Address recommends: extend commercial relations while keeping as little political connection as possible, and honor existing engagements in good faith.</w:t>
      </w:r>
    </w:p>
    <w:p>
      <w:pPr>
        <w:spacing w:after="100" w:line="360" w:lineRule="auto"/>
        <w:ind w:left="400" w:hanging="240"/>
      </w:pPr>
      <w:r>
        <w:rPr>
          <w:sz w:val="22"/>
          <w:szCs w:val="22"/>
        </w:rPr>
        <w:t xml:space="preserve">•   </w:t>
      </w:r>
      <w:r>
        <w:rPr>
          <w:sz w:val="22"/>
          <w:szCs w:val="22"/>
        </w:rPr>
        <w:t xml:space="preserve">Required—the imprecision: the Address rules out political entanglement, not trade or contact with the world economy. A student who only quotes the passage without drawing the distinction in their own words has not answered the question.</w:t>
      </w:r>
    </w:p>
    <w:p>
      <w:pPr>
        <w:spacing w:after="100" w:line="360" w:lineRule="auto"/>
        <w:ind w:left="400" w:hanging="240"/>
      </w:pPr>
      <w:r>
        <w:rPr>
          <w:sz w:val="22"/>
          <w:szCs w:val="22"/>
        </w:rPr>
        <w:t xml:space="preserve">•   </w:t>
      </w:r>
      <w:r>
        <w:rPr>
          <w:sz w:val="22"/>
          <w:szCs w:val="22"/>
        </w:rPr>
        <w:t xml:space="preserve">Credit, do not require: that the Address is invoked afterward by opponents of commitment—in the expansion debate of 1898, against the League, and against NATO—which is what makes the imprecision consequential rather than pedantic.</w:t>
      </w:r>
    </w:p>
    <w:p>
      <w:pPr>
        <w:spacing w:after="100" w:line="360" w:lineRule="auto"/>
        <w:ind w:left="400" w:hanging="240"/>
      </w:pPr>
      <w:r>
        <w:rPr>
          <w:sz w:val="22"/>
          <w:szCs w:val="22"/>
        </w:rPr>
        <w:t xml:space="preserve">•   </w:t>
      </w:r>
      <w:r>
        <w:rPr>
          <w:sz w:val="22"/>
          <w:szCs w:val="22"/>
        </w:rPr>
        <w:t xml:space="preserve">Credit: connecting Adams’s 1821 address or Brutus X as earlier statements of the same distinction; or noting the early republic pursued trade aggressively while avoiding alliances.</w:t>
      </w:r>
    </w:p>
    <w:p>
      <w:pPr>
        <w:spacing w:after="100" w:line="360" w:lineRule="auto"/>
        <w:ind w:left="400" w:hanging="240"/>
      </w:pPr>
      <w:r>
        <w:rPr>
          <w:sz w:val="22"/>
          <w:szCs w:val="22"/>
        </w:rPr>
        <w:t xml:space="preserve">•   </w:t>
      </w:r>
      <w:r>
        <w:rPr>
          <w:sz w:val="22"/>
          <w:szCs w:val="22"/>
        </w:rPr>
        <w:t xml:space="preserve">At 125–175 words, expect the two required elements plus one of the others. Do not penalize the absence of the interwar material.</w:t>
      </w:r>
    </w:p>
    <w:p>
      <w:pPr>
        <w:pStyle w:val="Heading2"/>
      </w:pPr>
      <w:r>
        <w:t xml:space="preserve">Question 2</w:t>
      </w:r>
    </w:p>
    <w:p>
      <w:pPr>
        <w:spacing w:after="120" w:line="360" w:lineRule="auto"/>
      </w:pPr>
      <w:r>
        <w:rPr>
          <w:i/>
          <w:iCs/>
          <w:sz w:val="22"/>
          <w:szCs w:val="22"/>
        </w:rPr>
        <w:t xml:space="preserve">American foreign policy is often explained as a response to threats and events abroad. Across this unit, however, domestic politics repeatedly shaped foreign policy outcomes. Using two examples from different periods, explain how a domestic interest, coalition, or institution shaped a specific foreign policy outcome. What do your examples suggest about the relationship between domestic politics and foreign policy over time?</w:t>
      </w:r>
    </w:p>
    <w:p>
      <w:pPr>
        <w:spacing w:after="100" w:line="360" w:lineRule="auto"/>
        <w:ind w:left="400" w:hanging="240"/>
      </w:pPr>
      <w:r>
        <w:rPr>
          <w:sz w:val="22"/>
          <w:szCs w:val="22"/>
        </w:rPr>
        <w:t xml:space="preserve">•   </w:t>
      </w:r>
      <w:r>
        <w:rPr>
          <w:sz w:val="22"/>
          <w:szCs w:val="22"/>
        </w:rPr>
        <w:t xml:space="preserve">Required—two examples from different periods, each tied to a specific outcome with the domestic mechanism named. Strong candidates: tariff politics and the Nullification Crisis (regional economic interests, 1828–1833); slavery and the annexation of Texas; the monitor-versus-blue-water fight over ship design in the 1890s; Lodge, the Senate Foreign Relations Committee, and the rejection of Versailles; the Neutrality Acts; FDR siting bases in the South; divided government after 1946, Vandenberg, and the Republican fingerprints on the Marshall Plan and NATO; the wartime reversal of Republican trade positions (Hiscox); the migration of defense spending and Republican strength to the South and West (Fordham); the international incentive to support desegregation (Dudziak).</w:t>
      </w:r>
    </w:p>
    <w:p>
      <w:pPr>
        <w:spacing w:after="100" w:line="360" w:lineRule="auto"/>
        <w:ind w:left="400" w:hanging="240"/>
      </w:pPr>
      <w:r>
        <w:rPr>
          <w:sz w:val="22"/>
          <w:szCs w:val="22"/>
        </w:rPr>
        <w:t xml:space="preserve">•   </w:t>
      </w:r>
      <w:r>
        <w:rPr>
          <w:sz w:val="22"/>
          <w:szCs w:val="22"/>
        </w:rPr>
        <w:t xml:space="preserve">Required—the mechanism, not just the coincidence. A student who says “Congress opposed the League” has named an event; one who explains that opposition hinged on Article X and sovereignty, and that Lodge controlled the committee that set the agenda, has named a mechanism.</w:t>
      </w:r>
    </w:p>
    <w:p>
      <w:pPr>
        <w:spacing w:after="100" w:line="360" w:lineRule="auto"/>
        <w:ind w:left="400" w:hanging="240"/>
      </w:pPr>
      <w:r>
        <w:rPr>
          <w:sz w:val="22"/>
          <w:szCs w:val="22"/>
        </w:rPr>
        <w:t xml:space="preserve">•   </w:t>
      </w:r>
      <w:r>
        <w:rPr>
          <w:sz w:val="22"/>
          <w:szCs w:val="22"/>
        </w:rPr>
        <w:t xml:space="preserve">Required—the generalization the prompt asks for. The strongest answers identify a pattern: coalitions follow economic position and geography, so party positions on trade and military spending change as their bases change. Credit equally a student who argues institutions (committee chairs, divided government) matter as much as interests.</w:t>
      </w:r>
    </w:p>
    <w:p>
      <w:pPr>
        <w:spacing w:after="100" w:line="360" w:lineRule="auto"/>
        <w:ind w:left="400" w:hanging="240"/>
      </w:pPr>
      <w:r>
        <w:rPr>
          <w:sz w:val="22"/>
          <w:szCs w:val="22"/>
        </w:rPr>
        <w:t xml:space="preserve">•   </w:t>
      </w:r>
      <w:r>
        <w:rPr>
          <w:sz w:val="22"/>
          <w:szCs w:val="22"/>
        </w:rPr>
        <w:t xml:space="preserve">Credit, do not require: that the international arena also reshapes domestic politics in return (Dudziak; the NNC petition); or that the pattern calls the exogenous-threat account of the Cold War consensus into question.</w:t>
      </w:r>
    </w:p>
    <w:p>
      <w:pPr>
        <w:spacing w:after="100" w:line="360" w:lineRule="auto"/>
        <w:ind w:left="400" w:hanging="240"/>
      </w:pPr>
      <w:r>
        <w:rPr>
          <w:sz w:val="22"/>
          <w:szCs w:val="22"/>
        </w:rPr>
        <w:t xml:space="preserve">•   </w:t>
      </w:r>
      <w:r>
        <w:rPr>
          <w:sz w:val="22"/>
          <w:szCs w:val="22"/>
        </w:rPr>
        <w:t xml:space="preserve">At 125–175 words, expect two compact examples and a one- or two-sentence conclusion. Examples from the same period (for example, two Cold War cases) earn at most 14.</w:t>
      </w:r>
    </w:p>
    <w:p>
      <w:r>
        <w:br w:type="page"/>
      </w:r>
    </w:p>
    <w:p>
      <w:pPr>
        <w:pStyle w:val="Heading1"/>
      </w:pPr>
      <w:r>
        <w:t xml:space="preserve">Coverage map</w:t>
      </w:r>
    </w:p>
    <w:p>
      <w:pPr>
        <w:pStyle w:val="Heading2"/>
      </w:pPr>
      <w:r>
        <w:t xml:space="preserve">Basic recall items</w:t>
      </w:r>
    </w:p>
    <w:p>
      <w:pPr>
        <w:spacing w:after="50" w:before="0" w:line="360" w:lineRule="auto"/>
      </w:pPr>
      <w:r>
        <w:rPr>
          <w:b w:val="false"/>
          <w:bCs w:val="false"/>
          <w:i w:val="false"/>
          <w:iCs w:val="false"/>
          <w:sz w:val="22"/>
          <w:szCs w:val="22"/>
        </w:rPr>
        <w:t xml:space="preserve">7 of 20 objective items, 35 percent: Q1 (mercantilism), Q2 (Louisiana Purchase), Q7 (1898 acquisitions), Q10 (Kennan and Nitze), Q12 (deterrence), TF 18 (Manifest Destiny), TF 19 (Truman Doctrine and the Marshall address).</w:t>
      </w:r>
    </w:p>
    <w:p>
      <w:pPr>
        <w:spacing w:after="50" w:before="0" w:line="360" w:lineRule="auto"/>
      </w:pPr>
      <w:r>
        <w:rPr>
          <w:b w:val="false"/>
          <w:bCs w:val="false"/>
          <w:i/>
          <w:iCs/>
          <w:sz w:val="22"/>
          <w:szCs w:val="22"/>
        </w:rPr>
        <w:t xml:space="preserve">These are drawn from the “definitions to know cold” table, the timeline, and the people list, so a student who worked the review sheet should clear all seven quickly. They exist to set the floor and to buy time for Part II.</w:t>
      </w:r>
    </w:p>
    <w:p>
      <w:pPr>
        <w:pStyle w:val="Heading2"/>
      </w:pPr>
      <w:r>
        <w:t xml:space="preserve">By lecture unit</w:t>
      </w:r>
    </w:p>
    <w:p>
      <w:pPr>
        <w:spacing w:after="50" w:before="0" w:line="360" w:lineRule="auto"/>
      </w:pPr>
      <w:r>
        <w:rPr>
          <w:b w:val="false"/>
          <w:bCs w:val="false"/>
          <w:i w:val="false"/>
          <w:iCs w:val="false"/>
          <w:sz w:val="22"/>
          <w:szCs w:val="22"/>
        </w:rPr>
        <w:t xml:space="preserve">Early Years, 1783–1870: Q1–Q5; TF 18; SA1.</w:t>
      </w:r>
    </w:p>
    <w:p>
      <w:pPr>
        <w:spacing w:after="50" w:before="0" w:line="360" w:lineRule="auto"/>
      </w:pPr>
      <w:r>
        <w:rPr>
          <w:b w:val="false"/>
          <w:bCs w:val="false"/>
          <w:i w:val="false"/>
          <w:iCs w:val="false"/>
          <w:sz w:val="22"/>
          <w:szCs w:val="22"/>
        </w:rPr>
        <w:t xml:space="preserve">Transitional Period, 1870–1945: Q6–Q8; TF 20.</w:t>
      </w:r>
    </w:p>
    <w:p>
      <w:pPr>
        <w:spacing w:after="50" w:before="0" w:line="360" w:lineRule="auto"/>
      </w:pPr>
      <w:r>
        <w:rPr>
          <w:b w:val="false"/>
          <w:bCs w:val="false"/>
          <w:i w:val="false"/>
          <w:iCs w:val="false"/>
          <w:sz w:val="22"/>
          <w:szCs w:val="22"/>
        </w:rPr>
        <w:t xml:space="preserve">From world war to Cold War, and hegemony: Q9–Q15; TF 19.</w:t>
      </w:r>
    </w:p>
    <w:p>
      <w:pPr>
        <w:spacing w:after="50" w:before="0" w:line="360" w:lineRule="auto"/>
      </w:pPr>
      <w:r>
        <w:rPr>
          <w:b w:val="false"/>
          <w:bCs w:val="false"/>
          <w:i w:val="false"/>
          <w:iCs w:val="false"/>
          <w:sz w:val="22"/>
          <w:szCs w:val="22"/>
        </w:rPr>
        <w:t xml:space="preserve">The Cold War and domestic politics: Q16, Q17.</w:t>
      </w:r>
    </w:p>
    <w:p>
      <w:pPr>
        <w:spacing w:after="50" w:before="0" w:line="360" w:lineRule="auto"/>
      </w:pPr>
      <w:r>
        <w:rPr>
          <w:b w:val="false"/>
          <w:bCs w:val="false"/>
          <w:i w:val="false"/>
          <w:iCs w:val="false"/>
          <w:sz w:val="22"/>
          <w:szCs w:val="22"/>
        </w:rPr>
        <w:t xml:space="preserve">Domestic politics across the whole unit: SA2, which lets students draw on any period.</w:t>
      </w:r>
    </w:p>
    <w:p>
      <w:pPr>
        <w:pStyle w:val="Heading2"/>
      </w:pPr>
      <w:r>
        <w:t xml:space="preserve">By assigned reading</w:t>
      </w:r>
    </w:p>
    <w:p>
      <w:pPr>
        <w:spacing w:after="50" w:before="0" w:line="360" w:lineRule="auto"/>
      </w:pPr>
      <w:r>
        <w:rPr>
          <w:b w:val="false"/>
          <w:bCs w:val="false"/>
          <w:i w:val="false"/>
          <w:iCs w:val="false"/>
          <w:sz w:val="22"/>
          <w:szCs w:val="22"/>
        </w:rPr>
        <w:t xml:space="preserve">Declaration of Independence—Q3. Brutus X—Q4. J.Q. Adams, 1821—Q5. Turner—Q6. Fourteen Points—Q8. Kennan, “Sources of Soviet Conduct”—Q10, Q11. NSC-68—Q10, Q11. Schelling on credibility—Q12. Ikenberry—Q13. Norris—Q15. Fordham—Q16, and available to SA2. Dudziak—Q17, and available to SA2. Truman Doctrine—TF 19. Washington’s Farewell Address—SA1. Hiscox—available to SA2.</w:t>
      </w:r>
    </w:p>
    <w:p>
      <w:pPr>
        <w:spacing w:after="50" w:before="0" w:line="360" w:lineRule="auto"/>
      </w:pPr>
      <w:r>
        <w:rPr>
          <w:b w:val="false"/>
          <w:bCs w:val="false"/>
          <w:i/>
          <w:iCs/>
          <w:sz w:val="22"/>
          <w:szCs w:val="22"/>
        </w:rPr>
        <w:t xml:space="preserve">Q16 and Q17 hand students two usable SA2 examples. That is deliberate: SA2 grades the explanation of mechanism and the generalization, not the recall of the case. A student who only restates Q16 without the mechanism will not score well.</w:t>
      </w:r>
    </w:p>
    <w:p>
      <w:pPr>
        <w:pStyle w:val="Heading2"/>
      </w:pPr>
      <w:r>
        <w:t xml:space="preserve">Pitfalls deliberately baited</w:t>
      </w:r>
    </w:p>
    <w:p>
      <w:pPr>
        <w:spacing w:after="40" w:before="0" w:line="360" w:lineRule="auto"/>
      </w:pPr>
      <w:r>
        <w:rPr>
          <w:b w:val="false"/>
          <w:bCs w:val="false"/>
          <w:i w:val="false"/>
          <w:iCs w:val="false"/>
          <w:sz w:val="22"/>
          <w:szCs w:val="22"/>
        </w:rPr>
        <w:t xml:space="preserve">“Isolationism” as a period description—Q5, SA1.</w:t>
      </w:r>
    </w:p>
    <w:p>
      <w:pPr>
        <w:spacing w:after="40" w:before="0" w:line="360" w:lineRule="auto"/>
      </w:pPr>
      <w:r>
        <w:rPr>
          <w:b w:val="false"/>
          <w:bCs w:val="false"/>
          <w:i w:val="false"/>
          <w:iCs w:val="false"/>
          <w:sz w:val="22"/>
          <w:szCs w:val="22"/>
        </w:rPr>
        <w:t xml:space="preserve">Containment as a single policy—Q10, Q11.</w:t>
      </w:r>
    </w:p>
    <w:p>
      <w:pPr>
        <w:spacing w:after="40" w:before="0" w:line="360" w:lineRule="auto"/>
      </w:pPr>
      <w:r>
        <w:rPr>
          <w:b w:val="false"/>
          <w:bCs w:val="false"/>
          <w:i w:val="false"/>
          <w:iCs w:val="false"/>
          <w:sz w:val="22"/>
          <w:szCs w:val="22"/>
        </w:rPr>
        <w:t xml:space="preserve">Standing armies as American tradition—Q4.</w:t>
      </w:r>
    </w:p>
    <w:p>
      <w:pPr>
        <w:spacing w:after="40" w:before="0" w:line="360" w:lineRule="auto"/>
      </w:pPr>
      <w:r>
        <w:rPr>
          <w:b w:val="false"/>
          <w:bCs w:val="false"/>
          <w:i w:val="false"/>
          <w:iCs w:val="false"/>
          <w:sz w:val="22"/>
          <w:szCs w:val="22"/>
        </w:rPr>
        <w:t xml:space="preserve">Hegemony as the ability to get what you want—Q13.</w:t>
      </w:r>
    </w:p>
    <w:p>
      <w:pPr>
        <w:spacing w:after="40" w:before="0" w:line="360" w:lineRule="auto"/>
      </w:pPr>
      <w:r>
        <w:rPr>
          <w:b w:val="false"/>
          <w:bCs w:val="false"/>
          <w:i w:val="false"/>
          <w:iCs w:val="false"/>
          <w:sz w:val="22"/>
          <w:szCs w:val="22"/>
        </w:rPr>
        <w:t xml:space="preserve">The monolithic communist bloc—Q14.</w:t>
      </w:r>
    </w:p>
    <w:p>
      <w:pPr>
        <w:spacing w:after="40" w:before="0" w:line="360" w:lineRule="auto"/>
      </w:pPr>
      <w:r>
        <w:rPr>
          <w:b w:val="false"/>
          <w:bCs w:val="false"/>
          <w:i w:val="false"/>
          <w:iCs w:val="false"/>
          <w:sz w:val="22"/>
          <w:szCs w:val="22"/>
        </w:rPr>
        <w:t xml:space="preserve">Fixed party ideology—Q16, SA2.</w:t>
      </w:r>
    </w:p>
    <w:p>
      <w:pPr>
        <w:spacing w:after="40" w:before="0" w:line="360" w:lineRule="auto"/>
      </w:pPr>
      <w:r>
        <w:rPr>
          <w:b w:val="false"/>
          <w:bCs w:val="false"/>
          <w:i w:val="false"/>
          <w:iCs w:val="false"/>
          <w:sz w:val="22"/>
          <w:szCs w:val="22"/>
        </w:rPr>
        <w:t xml:space="preserve">Slavery and civil rights as interruptions of the foreign policy story—Q3, Q17, SA2.</w:t>
      </w:r>
    </w:p>
    <w:p>
      <w:pPr>
        <w:spacing w:after="40" w:before="0" w:line="360" w:lineRule="auto"/>
      </w:pPr>
      <w:r>
        <w:rPr>
          <w:b w:val="false"/>
          <w:bCs w:val="false"/>
          <w:i w:val="false"/>
          <w:iCs w:val="false"/>
          <w:sz w:val="22"/>
          <w:szCs w:val="22"/>
        </w:rPr>
        <w:t xml:space="preserve">The claim that World War II ended the Great Depression—TF 20.</w:t>
      </w:r>
    </w:p>
    <w:p>
      <w:pPr>
        <w:spacing w:after="40" w:before="0" w:line="360" w:lineRule="auto"/>
      </w:pPr>
      <w:r>
        <w:rPr>
          <w:b w:val="false"/>
          <w:bCs w:val="false"/>
          <w:i w:val="false"/>
          <w:iCs w:val="false"/>
          <w:sz w:val="22"/>
          <w:szCs w:val="22"/>
        </w:rPr>
        <w:t xml:space="preserve">Conflating the Truman Doctrine with the Marshall Plan—TF 19.</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sz w:val="18"/>
        <w:szCs w:val="18"/>
      </w:rPr>
      <w:t xml:space="preserve">POLSC 343 Exam 1—Key—page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pPr>
    </w:pPrDefault>
  </w:docDefaults>
  <w:style w:type="paragraph" w:styleId="Title">
    <w:name w:val="Title"/>
    <w:basedOn w:val="Normal"/>
    <w:next w:val="Normal"/>
    <w:qFormat/>
    <w:pPr>
      <w:spacing w:after="80" w:line="360" w:lineRule="auto"/>
      <w:jc w:val="center"/>
    </w:pPr>
    <w:rPr>
      <w:rFonts w:ascii="Arial" w:cs="Arial" w:eastAsia="Arial" w:hAnsi="Arial"/>
      <w:b/>
      <w:bCs/>
      <w:color w:val="000000"/>
      <w:sz w:val="32"/>
      <w:szCs w:val="32"/>
    </w:rPr>
  </w:style>
  <w:style w:type="paragraph" w:styleId="Heading1">
    <w:name w:val="Heading 1"/>
    <w:basedOn w:val="Normal"/>
    <w:next w:val="Normal"/>
    <w:qFormat/>
    <w:pPr>
      <w:spacing w:after="180" w:before="360" w:line="360" w:lineRule="auto"/>
    </w:pPr>
    <w:rPr>
      <w:rFonts w:ascii="Arial" w:cs="Arial" w:eastAsia="Arial" w:hAnsi="Arial"/>
      <w:b/>
      <w:bCs/>
      <w:color w:val="000000"/>
      <w:sz w:val="30"/>
      <w:szCs w:val="30"/>
    </w:rPr>
  </w:style>
  <w:style w:type="paragraph" w:styleId="Heading2">
    <w:name w:val="Heading 2"/>
    <w:basedOn w:val="Normal"/>
    <w:next w:val="Normal"/>
    <w:qFormat/>
    <w:pPr>
      <w:spacing w:after="140" w:before="280" w:line="360" w:lineRule="auto"/>
    </w:pPr>
    <w:rPr>
      <w:rFonts w:ascii="Arial" w:cs="Arial" w:eastAsia="Arial" w:hAnsi="Arial"/>
      <w:b/>
      <w:bCs/>
      <w:color w:val="000000"/>
      <w:sz w:val="25"/>
      <w:szCs w:val="25"/>
    </w:rPr>
  </w:style>
  <w:style w:type="paragraph" w:styleId="Heading3">
    <w:name w:val="Heading 3"/>
    <w:basedOn w:val="Normal"/>
    <w:next w:val="Normal"/>
    <w:qFormat/>
    <w:pPr>
      <w:spacing w:after="100" w:before="220" w:line="360" w:lineRule="auto"/>
    </w:pPr>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2026-09-24T20:22:03.436Z</dcterms:created>
  <dcterms:modified xsi:type="dcterms:W3CDTF">2026-09-24T20:22:03.436Z</dcterms:modified>
</cp:coreProperties>
</file>

<file path=docProps/custom.xml><?xml version="1.0" encoding="utf-8"?>
<Properties xmlns="http://schemas.openxmlformats.org/officeDocument/2006/custom-properties" xmlns:vt="http://schemas.openxmlformats.org/officeDocument/2006/docPropsVTypes"/>
</file>