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POLSC 343: American Foreign Policy</w:t>
      </w:r>
    </w:p>
    <w:p>
      <w:pPr>
        <w:spacing w:after="40" w:line="360" w:lineRule="auto"/>
        <w:jc w:val="center"/>
      </w:pPr>
      <w:r>
        <w:rPr>
          <w:sz w:val="26"/>
          <w:szCs w:val="26"/>
        </w:rPr>
        <w:t xml:space="preserve">Exam 1—Historical Background (Weeks 1–4)</w:t>
      </w:r>
    </w:p>
    <w:p>
      <w:pPr>
        <w:spacing w:after="240" w:line="360" w:lineRule="auto"/>
        <w:jc w:val="center"/>
      </w:pPr>
      <w:r>
        <w:rPr>
          <w:i/>
          <w:iCs/>
          <w:sz w:val="20"/>
          <w:szCs w:val="20"/>
        </w:rPr>
        <w:t xml:space="preserve">Closed book, closed note. Fifty minutes.</w:t>
      </w:r>
    </w:p>
    <w:p>
      <w:pPr>
        <w:spacing w:after="200" w:line="360" w:lineRule="auto"/>
      </w:pPr>
      <w:r>
        <w:rPr>
          <w:sz w:val="22"/>
          <w:szCs w:val="22"/>
        </w:rPr>
        <w:t xml:space="preserve">Name: ______________________________________          Date: ______________________</w:t>
      </w:r>
    </w:p>
    <w:p>
      <w:pPr>
        <w:spacing w:after="60" w:before="0" w:line="360" w:lineRule="auto"/>
      </w:pPr>
      <w:r>
        <w:rPr>
          <w:b w:val="false"/>
          <w:bCs w:val="false"/>
          <w:i/>
          <w:iCs/>
          <w:sz w:val="22"/>
          <w:szCs w:val="22"/>
        </w:rPr>
        <w:t xml:space="preserve">Part I consists of 20 questions worth 3 points each (60 points). Part II consists of 2 short answer questions worth 20 points each (40 points). Total: 100 points. For multiple choice, select the single best answer. For true/false, circle T or F.</w:t>
      </w:r>
    </w:p>
    <w:p>
      <w:pPr>
        <w:spacing w:after="120" w:before="0" w:line="360" w:lineRule="auto"/>
      </w:pPr>
      <w:r>
        <w:rPr>
          <w:b/>
          <w:bCs/>
          <w:i/>
          <w:iCs/>
          <w:sz w:val="22"/>
          <w:szCs w:val="22"/>
        </w:rPr>
        <w:t xml:space="preserve">Suggested pacing: 22 minutes on Part I, 20 minutes on Part II, 5 minutes to check your work.</w:t>
      </w:r>
    </w:p>
    <w:p>
      <w:pPr>
        <w:pBdr>
          <w:bottom w:val="single" w:color="999999" w:sz="6" w:space="4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Part I. Multiple Choice and True/False</w:t>
      </w:r>
    </w:p>
    <w:p>
      <w:pPr>
        <w:pStyle w:val="Heading2"/>
      </w:pPr>
      <w:r>
        <w:t xml:space="preserve">Section A. Multiple choice</w:t>
      </w:r>
    </w:p>
    <w:p>
      <w:pPr>
        <w:spacing w:after="160" w:before="0" w:line="360" w:lineRule="auto"/>
      </w:pPr>
      <w:r>
        <w:rPr>
          <w:b w:val="false"/>
          <w:bCs w:val="false"/>
          <w:i/>
          <w:iCs/>
          <w:sz w:val="22"/>
          <w:szCs w:val="22"/>
        </w:rPr>
        <w:t xml:space="preserve">Select the single best answer. 3 points each.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1. Mercantilism is best defined as: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An economic doctrine holding that military power and economic influence complement each other, with policies favoring the mother country over its colonies and competitors.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The doctrine that free exchange between nations produces mutual gain and reduces the likelihood of war.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A policy of national economic self-sufficiency pursued by avoiding foreign trade entirely.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The practice of financing government through tariffs rather than direct taxation.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2. The Louisiana Purchase was completed in: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1783, as part of the Treaty of Paris settlement.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1803, for $15 million, financed by Napoleon’s need for revenue for his European wars.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1812, as a condition of ending the war with Britain.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1823, in conjunction with the Monroe Doctrine.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3. The Declaration of Independence is assigned in this course partly as a foreign policy document. Which reading best supports that framing?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Its assertion of natural rights was directed principally at a European diplomatic audience whose recognition the colonies needed.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Its list of grievances includes foreign policy grievances—restrictions on colonial trade, the quartering of troops, and the use of foreign mercenaries—and its universal language about rights becomes a standard later generations hold the US to, at home and abroad.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It formally established the principle of no entangling alliances later restated in Washington’s Farewell Address.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It committed the new states to abolition of the international slave trade, accomplished in 1808.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4. Brutus X is paired in this unit with the post-1945 military establishment because: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It predicted the US would require a large navy to defend overseas commerce.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It argues that a permanent standing army concentrated in federal hands endangers liberty—a warning worth reading against the permanent establishment the US actually built after 1945.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It defends state militias as more effective fighting forces than professional armies.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It was written in support of ratification and therefore anticipates federal military power approvingly.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5. In his 1821 Independence Day address, John Quincy Adams declared that America “goes not abroad, in search of monsters to destroy.” His argument was that: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The US should withdraw from foreign commerce as well as foreign politics until strong enough to defend its interests.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America should be the well-wisher of freedom everywhere but the champion and vindicator only of her own, and that involvement in foreign wars would change the fundamental maxims of American policy.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European monarchies posed no genuine threat to the republic and therefore warranted no American attention.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The US should intervene on behalf of independence movements in the Western Hemisphere while avoiding European conflicts.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6. Turner delivered the frontier thesis in 1893. The timing matters to this course because: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It coincided with the closing of the frontier and therefore framed the immediate question of whether overseas colonies could serve the function the frontier had.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It provided the Roosevelt Corollary with its intellectual justification a decade in advance.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It was written as a direct rebuttal to the anti-expansionists of the 1898 debate.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It marked the point at which the US economy surpassed Great Britain’s.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7. As a result of the Spanish–American War of 1898, the United States acquired: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Cuba, Haiti, and the Dominican Republic as formal territories.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The Philippines, Guam, and Puerto Rico, along with a qualified position in Cuba; Hawaii was annexed separately the same year.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The Philippines and Hawaii only, Guam and Puerto Rico remaining Spanish until 1917.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American Samoa and Guam, the Philippines having been granted immediate independence.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8. Which of Wilson’s Fourteen Points most clearly survive, in modified form, into the order actually built after 1945?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Freedom of the seas and the abolition of secret treaties, realized in the UN Charter’s enforcement provisions.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Removal of economic barriers, self-determination, and a general association of nations—which reappear as the Bretton Woods system, the handling of colonial territories, and the UN.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Arms reduction, which the Washington and London naval conferences institutionalized permanently.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Open covenants openly arrived at, which became the governing procedure of the Security Council.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9. The decision to use atomic weapons against Japan cannot be understood as a decision about Japan alone because: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Truman had been briefed on the Manhattan Project throughout the war and had long since committed to use.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Ending the Pacific war quickly was also a means of limiting Soviet involvement in the Pacific and in the postwar settlement.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The US arsenal was large enough that a demonstration carried no opportunity cost.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Stimson favored a demonstration and was overruled on purely military grounds.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10. Which pairing of author and document is correct?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George Kennan wrote NSC-68; Paul Nitze wrote the Long Telegram and the X Article.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George Kennan wrote the Long Telegram and the X Article; Paul Nitze was principal author of NSC-68.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George Marshall wrote the X Article; Dean Acheson was principal author of NSC-68.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Harry Truman wrote the Long Telegram; George Kennan was principal author of NSC-68.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11. Set NSC-68 beside “The Sources of Soviet Conduct” (the X Article). The sharpest difference between the two documents is: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NSC-68 denied that Soviet conduct had ideological roots, while the X Article insisted that it did.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The X Article prescribed long-term, patient but firm and vigilant containment applied largely through non-military counter-pressure; NSC-68 called for a large, sustained military buildup—implying a different kind of American state.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The X Article was written for a public audience and NSC-68 for a classified one, but their policy prescriptions were substantially identical.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NSC-68 recommended negotiating a sphere-of-influence settlement with Moscow.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12. Deterrence, as defined in this course, is: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Compelling another actor to reverse an action it has already taken, by force if necessary.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Discouraging another actor from taking an action by making the negative consequences of that action clear—which requires that the threat be credible.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The distribution of costs and responsibilities among allies in a common defense.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A situation in which one state’s efforts to make itself more secure render its neighbors less secure.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13. Ikenberry argues that the United States had to constrain its own behavior in order to sustain the order it built after 1945. The logic is that: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Hegemony is self-limiting because preponderant power decays at a predictable rate.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Unilateral action would provoke backlash and erode the buy-in and legitimacy on which a rules-based order depends, so binding itself was a condition of the order’s durability.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Constraint was imposed on the US by its allies as the price of their joining NATO.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A hegemon that binds itself thereby guarantees it will obtain the outcomes it prefers.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14. Hold two facts together: Tito broke with Stalin in 1948, and the Sino-Soviet alliance was signed in 1950. What does the lecture ask you to notice?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That the communist movement was genuinely monolithic, as American policymakers claimed.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That the communist world was deeply divided from the start, yet US policymakers routinely described it as a single bloc and underestimated those divisions even when contrary evidence was available.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That the Yugoslav split was a deception staged to mislead Western intelligence.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That American policymakers correctly identified the split and revised containment accordingly.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15. The subtitle of Norris’s The Enduring Struggle describes America’s “uneasy” transformation of the world. What does that word carry in his account of USAID?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That the agency’s early Cold War mission was humanitarian and only later became strategic.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That foreign aid sits structurally between humanitarian purpose and strategic instrument, and that the tension is built into the enterprise rather than incidental to it.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That USAID’s mandate was clear but its funding was chronically unstable.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That recipient governments consistently resisted American assistance on sovereignty grounds.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16. Fordham’s central finding about Cold War military spending is that: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Republicans were consistently the party of high defense spending from 1945 onward.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Party positions were not fixed: Republicans were the fiscally wary party in the early Cold War, and their positions shifted as defense dollars and Republican electoral strength both migrated to the South and West.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Congressional positions on defense spending tracked threat assessment rather than constituency interest.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Defense spending levels were set by the executive with negligible congressional input.</w:t>
      </w:r>
    </w:p>
    <w:p>
      <w:pPr>
        <w:keepNext/>
        <w:keepLines/>
        <w:spacing w:after="60" w:before="200" w:line="360" w:lineRule="auto"/>
      </w:pPr>
      <w:r>
        <w:rPr>
          <w:sz w:val="22"/>
          <w:szCs w:val="22"/>
        </w:rPr>
        <w:t xml:space="preserve">17. Dudziak’s argument in “Brown as a Cold War Case” is that: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a.</w:t>
        <w:tab/>
        <w:t xml:space="preserve">The Brown decision was principally the result of sustained electoral pressure from Northern Black voters.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b.</w:t>
        <w:tab/>
        <w:t xml:space="preserve">American segregation was a propaganda liability abroad, giving federal policymakers an international incentive to support desegregation that was independent of domestic moral or electoral pressure.</w:t>
      </w:r>
    </w:p>
    <w:p>
      <w:pPr>
        <w:keepNext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c.</w:t>
        <w:tab/>
        <w:t xml:space="preserve">Soviet criticism of American racial practice was dismissed by US officials as baseless.</w:t>
      </w:r>
    </w:p>
    <w:p>
      <w:pPr>
        <w:keepNext w:val="false"/>
        <w:keepLines/>
        <w:tabs>
          <w:tab w:val="left" w:pos="900"/>
        </w:tabs>
        <w:spacing w:after="40" w:line="360" w:lineRule="auto"/>
        <w:ind w:left="900" w:hanging="360"/>
      </w:pPr>
      <w:r>
        <w:rPr>
          <w:sz w:val="22"/>
          <w:szCs w:val="22"/>
        </w:rPr>
        <w:t xml:space="preserve">d.</w:t>
        <w:tab/>
        <w:t xml:space="preserve">Cold War priorities delayed desegregation by making civil rights claims appear subversive.</w:t>
      </w:r>
    </w:p>
    <w:p>
      <w:pPr>
        <w:pStyle w:val="Heading2"/>
      </w:pPr>
      <w:r>
        <w:t xml:space="preserve">Section B. True or false</w:t>
      </w:r>
    </w:p>
    <w:p>
      <w:pPr>
        <w:spacing w:after="160" w:before="0" w:line="360" w:lineRule="auto"/>
      </w:pPr>
      <w:r>
        <w:rPr>
          <w:b w:val="false"/>
          <w:bCs w:val="false"/>
          <w:i/>
          <w:iCs/>
          <w:sz w:val="22"/>
          <w:szCs w:val="22"/>
        </w:rPr>
        <w:t xml:space="preserve">Circle one. 3 points each.</w:t>
      </w:r>
    </w:p>
    <w:p>
      <w:pPr>
        <w:keepLines/>
        <w:tabs>
          <w:tab w:val="left" w:pos="560"/>
          <w:tab w:val="left" w:pos="1440"/>
        </w:tabs>
        <w:spacing w:after="60" w:before="200" w:line="360" w:lineRule="auto"/>
        <w:ind w:left="1440" w:hanging="1440"/>
      </w:pPr>
      <w:r>
        <w:rPr>
          <w:sz w:val="22"/>
          <w:szCs w:val="22"/>
        </w:rPr>
        <w:t xml:space="preserve">18.</w:t>
        <w:tab/>
      </w:r>
      <w:r>
        <w:rPr>
          <w:b/>
          <w:bCs/>
          <w:sz w:val="22"/>
          <w:szCs w:val="22"/>
        </w:rPr>
        <w:t xml:space="preserve">T    F</w:t>
      </w:r>
      <w:r>
        <w:rPr>
          <w:sz w:val="22"/>
          <w:szCs w:val="22"/>
        </w:rPr>
        <w:tab/>
        <w:t xml:space="preserve">The term “Manifest Destiny” is attributed to John L. O’Sullivan, who coined it in 1845.</w:t>
      </w:r>
    </w:p>
    <w:p>
      <w:pPr>
        <w:keepLines/>
        <w:tabs>
          <w:tab w:val="left" w:pos="560"/>
          <w:tab w:val="left" w:pos="1440"/>
        </w:tabs>
        <w:spacing w:after="60" w:before="200" w:line="360" w:lineRule="auto"/>
        <w:ind w:left="1440" w:hanging="1440"/>
      </w:pPr>
      <w:r>
        <w:rPr>
          <w:sz w:val="22"/>
          <w:szCs w:val="22"/>
        </w:rPr>
        <w:t xml:space="preserve">19.</w:t>
        <w:tab/>
      </w:r>
      <w:r>
        <w:rPr>
          <w:b/>
          <w:bCs/>
          <w:sz w:val="22"/>
          <w:szCs w:val="22"/>
        </w:rPr>
        <w:t xml:space="preserve">T    F</w:t>
      </w:r>
      <w:r>
        <w:rPr>
          <w:sz w:val="22"/>
          <w:szCs w:val="22"/>
        </w:rPr>
        <w:tab/>
        <w:t xml:space="preserve">The Truman Doctrine was announced in George Marshall’s June 1947 Harvard commencement address.</w:t>
      </w:r>
    </w:p>
    <w:p>
      <w:pPr>
        <w:keepLines/>
        <w:tabs>
          <w:tab w:val="left" w:pos="560"/>
          <w:tab w:val="left" w:pos="1440"/>
        </w:tabs>
        <w:spacing w:after="60" w:before="200" w:line="360" w:lineRule="auto"/>
        <w:ind w:left="1440" w:hanging="1440"/>
      </w:pPr>
      <w:r>
        <w:rPr>
          <w:sz w:val="22"/>
          <w:szCs w:val="22"/>
        </w:rPr>
        <w:t xml:space="preserve">20.</w:t>
        <w:tab/>
      </w:r>
      <w:r>
        <w:rPr>
          <w:b/>
          <w:bCs/>
          <w:sz w:val="22"/>
          <w:szCs w:val="22"/>
        </w:rPr>
        <w:t xml:space="preserve">T    F</w:t>
      </w:r>
      <w:r>
        <w:rPr>
          <w:sz w:val="22"/>
          <w:szCs w:val="22"/>
        </w:rPr>
        <w:tab/>
        <w:t xml:space="preserve">World War II ended the Great Depression: recovery in the United States began only with wartime mobilization.</w:t>
      </w:r>
    </w:p>
    <w:p>
      <w:r>
        <w:br w:type="page"/>
      </w:r>
    </w:p>
    <w:p>
      <w:pPr>
        <w:pStyle w:val="Heading1"/>
      </w:pPr>
      <w:r>
        <w:t xml:space="preserve">Part II. Short Answer</w:t>
      </w:r>
    </w:p>
    <w:p>
      <w:pPr>
        <w:spacing w:after="200" w:before="0" w:line="360" w:lineRule="auto"/>
      </w:pPr>
      <w:r>
        <w:rPr>
          <w:b w:val="false"/>
          <w:bCs w:val="false"/>
          <w:i/>
          <w:iCs/>
          <w:sz w:val="22"/>
          <w:szCs w:val="22"/>
        </w:rPr>
        <w:t xml:space="preserve">Answer both questions in roughly 125–175 words each—about one good paragraph. Be direct: a precise claim supported by one or two specifics will earn more than a broad survey. 20 points each.</w:t>
      </w:r>
    </w:p>
    <w:p>
      <w:pPr>
        <w:pStyle w:val="Heading3"/>
        <w:keepNext/>
      </w:pPr>
      <w:r>
        <w:t xml:space="preserve">Question 1</w:t>
      </w:r>
    </w:p>
    <w:p>
      <w:pPr>
        <w:keepLines/>
        <w:spacing w:after="160" w:line="360" w:lineRule="auto"/>
      </w:pPr>
      <w:r>
        <w:rPr>
          <w:sz w:val="22"/>
          <w:szCs w:val="22"/>
        </w:rPr>
        <w:t xml:space="preserve">Washington’s Farewell Address is routinely cited as a call for isolationism. Explain why that reading is imprecise, and state what the Address actually recommends.</w:t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3"/>
        <w:keepNext/>
      </w:pPr>
      <w:r>
        <w:t xml:space="preserve">Question 2</w:t>
      </w:r>
    </w:p>
    <w:p>
      <w:pPr>
        <w:keepLines/>
        <w:spacing w:after="160" w:line="360" w:lineRule="auto"/>
      </w:pPr>
      <w:r>
        <w:rPr>
          <w:sz w:val="22"/>
          <w:szCs w:val="22"/>
        </w:rPr>
        <w:t xml:space="preserve">American foreign policy is often explained as a response to threats and events abroad. Across this unit, however, domestic politics repeatedly shaped foreign policy outcomes. Using two examples from different periods, explain how a domestic interest, coalition, or institution shaped a specific foreign policy outcome. What do your examples suggest about the relationship between domestic politics and foreign policy over time?</w:t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p>
      <w:pPr>
        <w:spacing w:line="360" w:lineRule="auto"/>
      </w:pPr>
      <w:r>
        <w:rPr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sz w:val="18"/>
        <w:szCs w:val="18"/>
      </w:rPr>
      <w:t xml:space="preserve">POLSC 343 Exam 1—page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pPr>
      <w:spacing w:after="80" w:line="360" w:lineRule="auto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80" w:before="360" w:line="360" w:lineRule="auto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 w:line="360" w:lineRule="auto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 w:line="360" w:lineRule="auto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2026-09-24T20:22:03.428Z</dcterms:created>
  <dcterms:modified xsi:type="dcterms:W3CDTF">2026-09-24T20:22:03.428Z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