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F3C31A" w14:textId="77777777" w:rsidR="007F1C65" w:rsidRDefault="00000000">
      <w:pPr>
        <w:pStyle w:val="Title"/>
      </w:pPr>
      <w:r>
        <w:t>POLSC 343: American Foreign Policy</w:t>
      </w:r>
    </w:p>
    <w:p w14:paraId="7F906F2B" w14:textId="77777777" w:rsidR="007F1C65" w:rsidRDefault="00000000">
      <w:pPr>
        <w:spacing w:after="40"/>
        <w:jc w:val="center"/>
      </w:pPr>
      <w:r>
        <w:rPr>
          <w:sz w:val="26"/>
          <w:szCs w:val="26"/>
        </w:rPr>
        <w:t>Exam 1—Historical Background (Weeks 1–4)</w:t>
      </w:r>
    </w:p>
    <w:p w14:paraId="6305C3B3" w14:textId="15722AA5" w:rsidR="007F1C65" w:rsidRDefault="00000000">
      <w:pPr>
        <w:spacing w:after="240"/>
        <w:jc w:val="center"/>
      </w:pPr>
      <w:r>
        <w:rPr>
          <w:i/>
          <w:iCs/>
          <w:sz w:val="20"/>
          <w:szCs w:val="20"/>
        </w:rPr>
        <w:t xml:space="preserve">Closed book, closed note. </w:t>
      </w:r>
      <w:r w:rsidR="0037781D">
        <w:rPr>
          <w:i/>
          <w:iCs/>
          <w:sz w:val="20"/>
          <w:szCs w:val="20"/>
        </w:rPr>
        <w:t>50</w:t>
      </w:r>
      <w:r>
        <w:rPr>
          <w:i/>
          <w:iCs/>
          <w:sz w:val="20"/>
          <w:szCs w:val="20"/>
        </w:rPr>
        <w:t xml:space="preserve"> minutes.</w:t>
      </w:r>
    </w:p>
    <w:p w14:paraId="6F319D31" w14:textId="77777777" w:rsidR="007F1C65" w:rsidRDefault="00000000">
      <w:pPr>
        <w:spacing w:after="200"/>
      </w:pPr>
      <w:r>
        <w:t>Name: ______________________________________          Date: ______________________</w:t>
      </w:r>
    </w:p>
    <w:p w14:paraId="5D68419B" w14:textId="77777777" w:rsidR="007F1C65" w:rsidRDefault="00000000">
      <w:pPr>
        <w:spacing w:after="60"/>
      </w:pPr>
      <w:r>
        <w:rPr>
          <w:i/>
          <w:iCs/>
        </w:rPr>
        <w:t>Part I consists of 20 questions worth 3 points each (60 points). Part II consists of 2 short answer questions worth 20 points each (40 points). Total: 100 points. For multiple choice, select the single best answer. For true/false, circle T or F.</w:t>
      </w:r>
    </w:p>
    <w:p w14:paraId="03A9CB3A" w14:textId="77777777" w:rsidR="007F1C65" w:rsidRDefault="00000000">
      <w:pPr>
        <w:spacing w:after="120"/>
      </w:pPr>
      <w:r>
        <w:rPr>
          <w:b/>
          <w:bCs/>
          <w:i/>
          <w:iCs/>
        </w:rPr>
        <w:t>Suggested pacing: 22 minutes on Part I, 20 minutes on Part II, 5 minutes to check your work.</w:t>
      </w:r>
    </w:p>
    <w:p w14:paraId="23E62379" w14:textId="77777777" w:rsidR="007F1C65" w:rsidRDefault="007F1C65">
      <w:pPr>
        <w:pBdr>
          <w:bottom w:val="single" w:sz="6" w:space="4" w:color="999999"/>
        </w:pBdr>
        <w:spacing w:before="120" w:after="200"/>
      </w:pPr>
    </w:p>
    <w:p w14:paraId="4EEBA3A9" w14:textId="77777777" w:rsidR="007F1C65" w:rsidRDefault="00000000">
      <w:pPr>
        <w:pStyle w:val="Heading1"/>
      </w:pPr>
      <w:r>
        <w:t>Part I. Multiple Choice and True/False</w:t>
      </w:r>
    </w:p>
    <w:p w14:paraId="40F267E8" w14:textId="77777777" w:rsidR="007F1C65" w:rsidRDefault="00000000">
      <w:pPr>
        <w:pStyle w:val="Heading2"/>
      </w:pPr>
      <w:r>
        <w:t>Section A. Multiple choice</w:t>
      </w:r>
    </w:p>
    <w:p w14:paraId="2E88FD22" w14:textId="77777777" w:rsidR="007F1C65" w:rsidRDefault="00000000">
      <w:pPr>
        <w:spacing w:after="160"/>
      </w:pPr>
      <w:r>
        <w:rPr>
          <w:i/>
          <w:iCs/>
        </w:rPr>
        <w:t>Select the single best answer. 3 points each.</w:t>
      </w:r>
    </w:p>
    <w:p w14:paraId="5863D0A0" w14:textId="77777777" w:rsidR="007F1C65" w:rsidRDefault="00000000">
      <w:pPr>
        <w:keepNext/>
        <w:keepLines/>
        <w:spacing w:before="200" w:after="60"/>
      </w:pPr>
      <w:r>
        <w:t>1. Mercantilism is best defined as:</w:t>
      </w:r>
    </w:p>
    <w:p w14:paraId="08476AB6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The doctrine that free exchange between nations produces mutual gain and reduces the likelihood of war.</w:t>
      </w:r>
    </w:p>
    <w:p w14:paraId="36D580C4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A policy of national economic self-sufficiency pursued by avoiding foreign trade entirely.</w:t>
      </w:r>
    </w:p>
    <w:p w14:paraId="37B99EF8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The practice of financing government through tariffs rather than through direct taxation.</w:t>
      </w:r>
    </w:p>
    <w:p w14:paraId="671459AC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 w:rsidRPr="00C05432">
        <w:rPr>
          <w:highlight w:val="yellow"/>
        </w:rPr>
        <w:t>d.</w:t>
      </w:r>
      <w:r w:rsidRPr="00C05432">
        <w:rPr>
          <w:highlight w:val="yellow"/>
        </w:rPr>
        <w:tab/>
        <w:t>An economic doctrine holding that military power and economic influence complement each other, with policies favoring the mother country over its colonies and competitors.</w:t>
      </w:r>
    </w:p>
    <w:p w14:paraId="12C10390" w14:textId="77777777" w:rsidR="007F1C65" w:rsidRDefault="00000000">
      <w:pPr>
        <w:keepNext/>
        <w:keepLines/>
        <w:spacing w:before="200" w:after="60"/>
      </w:pPr>
      <w:r>
        <w:t>2. The Declaration of Independence is assigned in this course partly as a foreign policy document. Which reading best supports that framing?</w:t>
      </w:r>
    </w:p>
    <w:p w14:paraId="11B26A41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Its assertion of natural rights was directed principally at a European diplomatic audience whose recognition the colonies needed.</w:t>
      </w:r>
    </w:p>
    <w:p w14:paraId="04A30946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It committed the new states to abolition of the international slave trade, accomplished in 1808.</w:t>
      </w:r>
    </w:p>
    <w:p w14:paraId="7DA764BE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C05432">
        <w:rPr>
          <w:highlight w:val="yellow"/>
        </w:rPr>
        <w:t>c.</w:t>
      </w:r>
      <w:r w:rsidRPr="00C05432">
        <w:rPr>
          <w:highlight w:val="yellow"/>
        </w:rPr>
        <w:tab/>
        <w:t xml:space="preserve">Its list of grievances includes foreign policy grievances—restrictions on colonial trade, the quartering of troops, and the use of foreign mercenaries—and its universal language about rights becomes </w:t>
      </w:r>
      <w:proofErr w:type="gramStart"/>
      <w:r w:rsidRPr="00C05432">
        <w:rPr>
          <w:highlight w:val="yellow"/>
        </w:rPr>
        <w:t>a standard later generations</w:t>
      </w:r>
      <w:proofErr w:type="gramEnd"/>
      <w:r w:rsidRPr="00C05432">
        <w:rPr>
          <w:highlight w:val="yellow"/>
        </w:rPr>
        <w:t xml:space="preserve"> hold the US to, at home and abroad.</w:t>
      </w:r>
    </w:p>
    <w:p w14:paraId="19D0D492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It formally established the principle of no entangling alliances later restated in Washington’s Farewell Address.</w:t>
      </w:r>
    </w:p>
    <w:p w14:paraId="7B77AF24" w14:textId="77777777" w:rsidR="007F1C65" w:rsidRDefault="00000000">
      <w:pPr>
        <w:keepNext/>
        <w:keepLines/>
        <w:spacing w:before="200" w:after="60"/>
      </w:pPr>
      <w:r>
        <w:lastRenderedPageBreak/>
        <w:t>3. Brutus X is paired in this unit with the post-1945 military establishment because:</w:t>
      </w:r>
    </w:p>
    <w:p w14:paraId="3986EA92" w14:textId="6CD99A31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1E057D">
        <w:rPr>
          <w:highlight w:val="yellow"/>
        </w:rPr>
        <w:t>a.</w:t>
      </w:r>
      <w:r w:rsidRPr="001E057D">
        <w:rPr>
          <w:highlight w:val="yellow"/>
        </w:rPr>
        <w:tab/>
        <w:t xml:space="preserve">It argues that a permanent standing army concentrated in federal hands endangers liberty—a warning worth </w:t>
      </w:r>
      <w:r w:rsidR="00C05432" w:rsidRPr="001E057D">
        <w:rPr>
          <w:highlight w:val="yellow"/>
        </w:rPr>
        <w:t>contrasting with</w:t>
      </w:r>
      <w:r w:rsidRPr="001E057D">
        <w:rPr>
          <w:highlight w:val="yellow"/>
        </w:rPr>
        <w:t xml:space="preserve"> the permanent establishment the US actually built after 1945.</w:t>
      </w:r>
    </w:p>
    <w:p w14:paraId="07E1AB80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It was written in support of ratification and therefore anticipates federal military power approvingly.</w:t>
      </w:r>
    </w:p>
    <w:p w14:paraId="777CF369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It predicted the US would require a large navy to defend overseas commerce.</w:t>
      </w:r>
    </w:p>
    <w:p w14:paraId="0F92FFE7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It defends state militias as more effective fighting forces than professional armies.</w:t>
      </w:r>
    </w:p>
    <w:p w14:paraId="15700508" w14:textId="77777777" w:rsidR="007F1C65" w:rsidRDefault="00000000">
      <w:pPr>
        <w:keepNext/>
        <w:keepLines/>
        <w:spacing w:before="200" w:after="60"/>
      </w:pPr>
      <w:r>
        <w:t>4. The Louisiana Purchase was completed in:</w:t>
      </w:r>
    </w:p>
    <w:p w14:paraId="057DBBA8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1783, as part of the Treaty of Paris settlement.</w:t>
      </w:r>
    </w:p>
    <w:p w14:paraId="4394D4E7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1E057D">
        <w:rPr>
          <w:highlight w:val="yellow"/>
        </w:rPr>
        <w:t>b.</w:t>
      </w:r>
      <w:r w:rsidRPr="001E057D">
        <w:rPr>
          <w:highlight w:val="yellow"/>
        </w:rPr>
        <w:tab/>
        <w:t>1803, for $15 million, driven by Napoleon’s need to finance his European wars.</w:t>
      </w:r>
    </w:p>
    <w:p w14:paraId="3FB87696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1812, as a condition of ending the war with Britain.</w:t>
      </w:r>
    </w:p>
    <w:p w14:paraId="22AA3C13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1823, in conjunction with the Monroe Doctrine.</w:t>
      </w:r>
    </w:p>
    <w:p w14:paraId="77CF67BC" w14:textId="77777777" w:rsidR="007F1C65" w:rsidRDefault="00000000">
      <w:pPr>
        <w:keepNext/>
        <w:keepLines/>
        <w:spacing w:before="200" w:after="60"/>
      </w:pPr>
      <w:r>
        <w:t>5. In his 1821 Independence Day address, John Quincy Adams declared that America “goes not abroad, in search of monsters to destroy.” His argument was that:</w:t>
      </w:r>
    </w:p>
    <w:p w14:paraId="6ACB9865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The US should withdraw from foreign commerce as well as foreign politics until it was strong enough to defend its interests.</w:t>
      </w:r>
    </w:p>
    <w:p w14:paraId="1FA259B2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European monarchies posed no genuine threat to the republic and therefore warranted no American attention.</w:t>
      </w:r>
    </w:p>
    <w:p w14:paraId="3257D702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The US should intervene on behalf of independence movements in the Western Hemisphere while avoiding European conflicts.</w:t>
      </w:r>
    </w:p>
    <w:p w14:paraId="6EE03D4B" w14:textId="471688DA" w:rsidR="007F1C65" w:rsidRDefault="00000000">
      <w:pPr>
        <w:keepLines/>
        <w:tabs>
          <w:tab w:val="left" w:pos="900"/>
        </w:tabs>
        <w:spacing w:after="40"/>
        <w:ind w:left="900" w:hanging="360"/>
      </w:pPr>
      <w:r w:rsidRPr="001E057D">
        <w:rPr>
          <w:highlight w:val="yellow"/>
        </w:rPr>
        <w:t>d.</w:t>
      </w:r>
      <w:r w:rsidRPr="001E057D">
        <w:rPr>
          <w:highlight w:val="yellow"/>
        </w:rPr>
        <w:tab/>
        <w:t xml:space="preserve">America should be the well-wisher of freedom everywhere but the champion and vindicator only of her own, and involvement in foreign wars would change the fundamental </w:t>
      </w:r>
      <w:r w:rsidR="001E057D">
        <w:rPr>
          <w:highlight w:val="yellow"/>
        </w:rPr>
        <w:t>principles</w:t>
      </w:r>
      <w:r w:rsidRPr="001E057D">
        <w:rPr>
          <w:highlight w:val="yellow"/>
        </w:rPr>
        <w:t xml:space="preserve"> of American policy.</w:t>
      </w:r>
    </w:p>
    <w:p w14:paraId="2B9C50B9" w14:textId="77777777" w:rsidR="007F1C65" w:rsidRDefault="00000000">
      <w:pPr>
        <w:keepNext/>
        <w:keepLines/>
        <w:spacing w:before="200" w:after="60"/>
      </w:pPr>
      <w:r>
        <w:t>6. When Monroe announced his doctrine in 1823, its most important practical limitation was that:</w:t>
      </w:r>
    </w:p>
    <w:p w14:paraId="26D18108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113C60">
        <w:rPr>
          <w:highlight w:val="yellow"/>
        </w:rPr>
        <w:t>a.</w:t>
      </w:r>
      <w:r w:rsidRPr="00113C60">
        <w:rPr>
          <w:highlight w:val="yellow"/>
        </w:rPr>
        <w:tab/>
        <w:t>The US lacked the naval capacity to enforce it and depended substantially on the British navy for roughly a century.</w:t>
      </w:r>
    </w:p>
    <w:p w14:paraId="4E4FCFBF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It had not been submitted to the Senate and therefore carried no legal force.</w:t>
      </w:r>
    </w:p>
    <w:p w14:paraId="66E1A2EF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It exempted existing European colonies and so applied to almost nothing.</w:t>
      </w:r>
    </w:p>
    <w:p w14:paraId="79348EC7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Britain and France formally rejected it, leaving it a dead letter until 1898.</w:t>
      </w:r>
    </w:p>
    <w:p w14:paraId="70564DF8" w14:textId="77777777" w:rsidR="007F1C65" w:rsidRDefault="00000000">
      <w:pPr>
        <w:keepNext/>
        <w:keepLines/>
        <w:spacing w:before="200" w:after="60"/>
      </w:pPr>
      <w:r>
        <w:lastRenderedPageBreak/>
        <w:t>7. Why were tariffs such an explosive source of political conflict in the early republic?</w:t>
      </w:r>
    </w:p>
    <w:p w14:paraId="39FA0FAA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The Constitution assigned tariff authority to the states, producing jurisdictional conflict.</w:t>
      </w:r>
    </w:p>
    <w:p w14:paraId="4937CE3D" w14:textId="25E8BAF9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Tariff rates were fixed by treaty and could not be adjusted without European consent</w:t>
      </w:r>
      <w:r w:rsidR="001D4D0B">
        <w:t>, which angered Americans who disliked ties with Europe</w:t>
      </w:r>
      <w:r>
        <w:t>.</w:t>
      </w:r>
    </w:p>
    <w:p w14:paraId="7CEFE00F" w14:textId="179BDF24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113C60">
        <w:rPr>
          <w:highlight w:val="yellow"/>
        </w:rPr>
        <w:t>c.</w:t>
      </w:r>
      <w:r w:rsidRPr="00113C60">
        <w:rPr>
          <w:highlight w:val="yellow"/>
        </w:rPr>
        <w:tab/>
        <w:t xml:space="preserve">The tariff was the federal government’s revenue source, </w:t>
      </w:r>
      <w:r w:rsidR="00113C60">
        <w:rPr>
          <w:highlight w:val="yellow"/>
        </w:rPr>
        <w:t xml:space="preserve">and while higher tariffs meant more </w:t>
      </w:r>
      <w:proofErr w:type="gramStart"/>
      <w:r w:rsidR="00113C60">
        <w:rPr>
          <w:highlight w:val="yellow"/>
        </w:rPr>
        <w:t>revenue</w:t>
      </w:r>
      <w:proofErr w:type="gramEnd"/>
      <w:r w:rsidR="00113C60">
        <w:rPr>
          <w:highlight w:val="yellow"/>
        </w:rPr>
        <w:t xml:space="preserve"> they had different effects on different regions, depending on their economic makeup and reliance on imports</w:t>
      </w:r>
      <w:r w:rsidRPr="00113C60">
        <w:rPr>
          <w:highlight w:val="yellow"/>
        </w:rPr>
        <w:t>.</w:t>
      </w:r>
    </w:p>
    <w:p w14:paraId="1973A0DA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Northern and Southern economies were similar enough that tariffs affected both regions in much the same way.</w:t>
      </w:r>
    </w:p>
    <w:p w14:paraId="03EE9959" w14:textId="77777777" w:rsidR="007F1C65" w:rsidRDefault="00000000">
      <w:pPr>
        <w:keepNext/>
        <w:keepLines/>
        <w:spacing w:before="200" w:after="60"/>
      </w:pPr>
      <w:r>
        <w:t>8. Turner delivered the frontier thesis in 1893. The timing matters to this course because:</w:t>
      </w:r>
    </w:p>
    <w:p w14:paraId="737DB01D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It provided the Roosevelt Corollary with its intellectual justification a decade in advance.</w:t>
      </w:r>
    </w:p>
    <w:p w14:paraId="37DA3EFF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6E1BFE">
        <w:rPr>
          <w:highlight w:val="yellow"/>
        </w:rPr>
        <w:t>b.</w:t>
      </w:r>
      <w:r w:rsidRPr="006E1BFE">
        <w:rPr>
          <w:highlight w:val="yellow"/>
        </w:rPr>
        <w:tab/>
        <w:t>It coincided with the closing of the frontier and therefore framed the immediate question of whether overseas colonies could serve the function the frontier had.</w:t>
      </w:r>
    </w:p>
    <w:p w14:paraId="4AAF9D38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It marked the point at which the US economy surpassed Great Britain’s.</w:t>
      </w:r>
    </w:p>
    <w:p w14:paraId="4E2F4C5A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It was written as a direct rebuttal to the anti-expansionists of the 1898 debate.</w:t>
      </w:r>
    </w:p>
    <w:p w14:paraId="0790FED4" w14:textId="77777777" w:rsidR="007F1C65" w:rsidRDefault="00000000">
      <w:pPr>
        <w:keepNext/>
        <w:keepLines/>
        <w:spacing w:before="200" w:after="60"/>
      </w:pPr>
      <w:r>
        <w:t xml:space="preserve">9. As a result of the </w:t>
      </w:r>
      <w:proofErr w:type="gramStart"/>
      <w:r>
        <w:t>Spanish–American</w:t>
      </w:r>
      <w:proofErr w:type="gramEnd"/>
      <w:r>
        <w:t xml:space="preserve"> War of 1898, the United States acquired:</w:t>
      </w:r>
    </w:p>
    <w:p w14:paraId="608CAE3B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Cuba, Haiti, and the Dominican Republic as formal territories.</w:t>
      </w:r>
    </w:p>
    <w:p w14:paraId="1004F583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The Philippines and Hawaii only, with Guam and Puerto Rico remaining Spanish until 1917.</w:t>
      </w:r>
    </w:p>
    <w:p w14:paraId="294B6188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American Samoa and Guam, the Philippines having been granted immediate independence.</w:t>
      </w:r>
    </w:p>
    <w:p w14:paraId="4BE9680F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 w:rsidRPr="006E1BFE">
        <w:rPr>
          <w:highlight w:val="yellow"/>
        </w:rPr>
        <w:t>d.</w:t>
      </w:r>
      <w:r w:rsidRPr="006E1BFE">
        <w:rPr>
          <w:highlight w:val="yellow"/>
        </w:rPr>
        <w:tab/>
        <w:t>The Philippines, Guam, and Puerto Rico, along with a qualified position in Cuba; Hawaii was annexed separately the same year.</w:t>
      </w:r>
    </w:p>
    <w:p w14:paraId="5449F67E" w14:textId="77777777" w:rsidR="007F1C65" w:rsidRDefault="00000000">
      <w:pPr>
        <w:keepNext/>
        <w:keepLines/>
        <w:spacing w:before="200" w:after="60"/>
      </w:pPr>
      <w:r>
        <w:t>10. Which of Wilson’s Fourteen Points most clearly survive, in modified form, into the order actually built after 1945?</w:t>
      </w:r>
    </w:p>
    <w:p w14:paraId="348220F5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6E1BFE">
        <w:rPr>
          <w:highlight w:val="yellow"/>
        </w:rPr>
        <w:t>a.</w:t>
      </w:r>
      <w:r w:rsidRPr="006E1BFE">
        <w:rPr>
          <w:highlight w:val="yellow"/>
        </w:rPr>
        <w:tab/>
        <w:t>Removal of economic barriers, self-determination, and a general association of nations—which reappear as the Bretton Woods system, the handling of colonial territories, and the UN.</w:t>
      </w:r>
    </w:p>
    <w:p w14:paraId="7F372108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Arms reduction, which the Washington and London naval conferences institutionalized permanently.</w:t>
      </w:r>
    </w:p>
    <w:p w14:paraId="00FB1B6F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Freedom of the seas and the abolition of secret treaties, realized in the UN Charter’s enforcement provisions.</w:t>
      </w:r>
    </w:p>
    <w:p w14:paraId="3C58179D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Open covenants openly arrived at, which became the governing procedure of the Security Council.</w:t>
      </w:r>
    </w:p>
    <w:p w14:paraId="1A8EB4E9" w14:textId="77777777" w:rsidR="007F1C65" w:rsidRDefault="00000000">
      <w:pPr>
        <w:keepNext/>
        <w:keepLines/>
        <w:spacing w:before="200" w:after="60"/>
      </w:pPr>
      <w:r>
        <w:lastRenderedPageBreak/>
        <w:t>11. The decision to use atomic weapons against Japan cannot be understood as a decision about Japan alone because:</w:t>
      </w:r>
    </w:p>
    <w:p w14:paraId="6FBF0989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Truman had been briefed on the Manhattan Project throughout the war and had long since committed to using it.</w:t>
      </w:r>
    </w:p>
    <w:p w14:paraId="0EDDC422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The US arsenal was large enough that a demonstration carried no opportunity cost.</w:t>
      </w:r>
    </w:p>
    <w:p w14:paraId="6CBA0D76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6E1BFE">
        <w:rPr>
          <w:highlight w:val="yellow"/>
        </w:rPr>
        <w:t>c.</w:t>
      </w:r>
      <w:r w:rsidRPr="006E1BFE">
        <w:rPr>
          <w:highlight w:val="yellow"/>
        </w:rPr>
        <w:tab/>
        <w:t>Ending the Pacific war quickly was also a means of limiting Soviet involvement in the Pacific and in the postwar settlement.</w:t>
      </w:r>
    </w:p>
    <w:p w14:paraId="38A36227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Stimson favored a demonstration and was overruled on purely military grounds.</w:t>
      </w:r>
    </w:p>
    <w:p w14:paraId="6EF9366D" w14:textId="77777777" w:rsidR="007F1C65" w:rsidRDefault="00000000">
      <w:pPr>
        <w:keepNext/>
        <w:keepLines/>
        <w:spacing w:before="200" w:after="60"/>
      </w:pPr>
      <w:r>
        <w:t>12. Which pairing of author and document is correct?</w:t>
      </w:r>
    </w:p>
    <w:p w14:paraId="69A9DFA4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George Kennan wrote NSC-68; Paul Nitze wrote the Long Telegram and the X Article.</w:t>
      </w:r>
    </w:p>
    <w:p w14:paraId="34F593EF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George Marshall wrote the X Article; Dean Acheson was principal author of NSC-68.</w:t>
      </w:r>
    </w:p>
    <w:p w14:paraId="4C390D3E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Harry Truman wrote the Long Telegram; George Kennan was principal author of NSC-68.</w:t>
      </w:r>
    </w:p>
    <w:p w14:paraId="43BDE00F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 w:rsidRPr="006E1BFE">
        <w:rPr>
          <w:highlight w:val="yellow"/>
        </w:rPr>
        <w:t>d.</w:t>
      </w:r>
      <w:r w:rsidRPr="006E1BFE">
        <w:rPr>
          <w:highlight w:val="yellow"/>
        </w:rPr>
        <w:tab/>
        <w:t>George Kennan wrote the Long Telegram and the X Article; Paul Nitze was principal author of NSC-68.</w:t>
      </w:r>
    </w:p>
    <w:p w14:paraId="664985CD" w14:textId="77777777" w:rsidR="007F1C65" w:rsidRDefault="00000000">
      <w:pPr>
        <w:keepNext/>
        <w:keepLines/>
        <w:spacing w:before="200" w:after="60"/>
      </w:pPr>
      <w:r>
        <w:t>13. Deterrence, as defined in this course, is:</w:t>
      </w:r>
    </w:p>
    <w:p w14:paraId="2D9EE7F5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6E1BFE">
        <w:rPr>
          <w:highlight w:val="yellow"/>
        </w:rPr>
        <w:t>a.</w:t>
      </w:r>
      <w:r w:rsidRPr="006E1BFE">
        <w:rPr>
          <w:highlight w:val="yellow"/>
        </w:rPr>
        <w:tab/>
        <w:t>Discouraging another actor from taking an action by making the negative consequences of that action clear—which requires that the threat be credible.</w:t>
      </w:r>
    </w:p>
    <w:p w14:paraId="44357DB7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Compelling another actor to reverse an action it has already taken, by force if necessary.</w:t>
      </w:r>
    </w:p>
    <w:p w14:paraId="5324BBE8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The distribution of costs and responsibilities among allies in a common defense.</w:t>
      </w:r>
    </w:p>
    <w:p w14:paraId="434998BC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A situation in which one state’s efforts to make itself more secure render its neighbors less secure.</w:t>
      </w:r>
    </w:p>
    <w:p w14:paraId="79753BE3" w14:textId="77777777" w:rsidR="007F1C65" w:rsidRDefault="00000000">
      <w:pPr>
        <w:keepNext/>
        <w:keepLines/>
        <w:spacing w:before="200" w:after="60"/>
      </w:pPr>
      <w:r>
        <w:t>14. The subtitle of Norris’s The Enduring Struggle describes America’s “uneasy” transformation of the world. What does that word carry in his account of USAID?</w:t>
      </w:r>
    </w:p>
    <w:p w14:paraId="21875A45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That the agency’s early Cold War mission was humanitarian and only later became strategic.</w:t>
      </w:r>
    </w:p>
    <w:p w14:paraId="609EC4A2" w14:textId="3DCFAED1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6E1BFE">
        <w:rPr>
          <w:highlight w:val="yellow"/>
        </w:rPr>
        <w:t>b.</w:t>
      </w:r>
      <w:r w:rsidRPr="006E1BFE">
        <w:rPr>
          <w:highlight w:val="yellow"/>
        </w:rPr>
        <w:tab/>
        <w:t xml:space="preserve">That foreign aid sits structurally between humanitarian purpose and strategic </w:t>
      </w:r>
      <w:r w:rsidR="00E73892">
        <w:rPr>
          <w:highlight w:val="yellow"/>
        </w:rPr>
        <w:t>instrument, and American goals and interests were often misaligned with local goals and interests</w:t>
      </w:r>
      <w:r w:rsidRPr="006E1BFE">
        <w:rPr>
          <w:highlight w:val="yellow"/>
        </w:rPr>
        <w:t>.</w:t>
      </w:r>
    </w:p>
    <w:p w14:paraId="45EA6433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 xml:space="preserve">That USAID’s mandate was </w:t>
      </w:r>
      <w:proofErr w:type="gramStart"/>
      <w:r>
        <w:t>clear</w:t>
      </w:r>
      <w:proofErr w:type="gramEnd"/>
      <w:r>
        <w:t xml:space="preserve"> but its funding was chronically unstable.</w:t>
      </w:r>
    </w:p>
    <w:p w14:paraId="4C12E134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That recipient governments consistently resisted American assistance on sovereignty grounds.</w:t>
      </w:r>
    </w:p>
    <w:p w14:paraId="0B565838" w14:textId="77777777" w:rsidR="007F1C65" w:rsidRDefault="00000000">
      <w:pPr>
        <w:keepNext/>
        <w:keepLines/>
        <w:spacing w:before="200" w:after="60"/>
      </w:pPr>
      <w:r>
        <w:lastRenderedPageBreak/>
        <w:t>15. Fordham’s central finding about Cold War military spending is that:</w:t>
      </w:r>
    </w:p>
    <w:p w14:paraId="0A830509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Republicans were consistently the party of high defense spending from 1945 onward.</w:t>
      </w:r>
    </w:p>
    <w:p w14:paraId="5F64CF95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Congressional positions on defense spending tracked threat assessment rather than constituency interest.</w:t>
      </w:r>
    </w:p>
    <w:p w14:paraId="397C7280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BB7FF2">
        <w:rPr>
          <w:highlight w:val="yellow"/>
        </w:rPr>
        <w:t>c.</w:t>
      </w:r>
      <w:r w:rsidRPr="00BB7FF2">
        <w:rPr>
          <w:highlight w:val="yellow"/>
        </w:rPr>
        <w:tab/>
        <w:t>Party positions were not fixed: Republicans were the fiscally wary party in the early Cold War, and their positions shifted as defense dollars and Republican electoral strength both migrated to the South and West.</w:t>
      </w:r>
    </w:p>
    <w:p w14:paraId="76417D80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Defense spending levels were set by the executive with negligible congressional input.</w:t>
      </w:r>
    </w:p>
    <w:p w14:paraId="49789202" w14:textId="0E530711" w:rsidR="007F1C65" w:rsidRDefault="00000000">
      <w:pPr>
        <w:keepNext/>
        <w:keepLines/>
        <w:spacing w:before="200" w:after="60"/>
      </w:pPr>
      <w:r>
        <w:t xml:space="preserve">16. </w:t>
      </w:r>
      <w:r w:rsidR="00BB7FF2">
        <w:t>The l</w:t>
      </w:r>
      <w:r>
        <w:t>ecture</w:t>
      </w:r>
      <w:r w:rsidR="00BB7FF2">
        <w:t>s</w:t>
      </w:r>
      <w:r>
        <w:t xml:space="preserve"> present the geography of defense spending as </w:t>
      </w:r>
      <w:r w:rsidR="00BB7FF2">
        <w:t>a</w:t>
      </w:r>
      <w:r>
        <w:t xml:space="preserve"> material mechanism </w:t>
      </w:r>
      <w:r w:rsidR="00BB7FF2">
        <w:t>underpinning</w:t>
      </w:r>
      <w:r>
        <w:t xml:space="preserve"> party positions on the military. Which pairing is accurate?</w:t>
      </w:r>
    </w:p>
    <w:p w14:paraId="31862FF8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a.</w:t>
      </w:r>
      <w:r>
        <w:tab/>
        <w:t>Both spending and personnel are concentrated in the same handful of states, which simplifies the politics of cutting defense.</w:t>
      </w:r>
    </w:p>
    <w:p w14:paraId="03EAFD63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746654">
        <w:rPr>
          <w:highlight w:val="yellow"/>
        </w:rPr>
        <w:t>b.</w:t>
      </w:r>
      <w:r w:rsidRPr="00746654">
        <w:rPr>
          <w:highlight w:val="yellow"/>
        </w:rPr>
        <w:tab/>
        <w:t>Defense spending is spread across a very large number of congressional districts, while military personnel are far more geographically concentrated.</w:t>
      </w:r>
    </w:p>
    <w:p w14:paraId="69076C98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Defense spending is concentrated in a few states, while military personnel are spread across most districts.</w:t>
      </w:r>
    </w:p>
    <w:p w14:paraId="5CDDF4CF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Both are distributed evenly across the country, which is why proposed defense cuts meet little organized resistance.</w:t>
      </w:r>
    </w:p>
    <w:p w14:paraId="4A059120" w14:textId="77777777" w:rsidR="007F1C65" w:rsidRDefault="00000000">
      <w:pPr>
        <w:keepNext/>
        <w:keepLines/>
        <w:spacing w:before="200" w:after="60"/>
      </w:pPr>
      <w:r>
        <w:t>17. Dudziak’s argument in “Brown as a Cold War Case” is that:</w:t>
      </w:r>
    </w:p>
    <w:p w14:paraId="529D4FFE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 w:rsidRPr="00746654">
        <w:rPr>
          <w:highlight w:val="yellow"/>
        </w:rPr>
        <w:t>a.</w:t>
      </w:r>
      <w:r w:rsidRPr="00746654">
        <w:rPr>
          <w:highlight w:val="yellow"/>
        </w:rPr>
        <w:tab/>
        <w:t>American segregation was a propaganda liability abroad, giving federal policymakers an international incentive to support desegregation that was independent of domestic moral or electoral pressure.</w:t>
      </w:r>
    </w:p>
    <w:p w14:paraId="7812952B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b.</w:t>
      </w:r>
      <w:r>
        <w:tab/>
        <w:t>The Brown decision was principally the result of sustained electoral pressure from Northern Black voters.</w:t>
      </w:r>
    </w:p>
    <w:p w14:paraId="7BF180EA" w14:textId="77777777" w:rsidR="007F1C65" w:rsidRDefault="00000000">
      <w:pPr>
        <w:keepNext/>
        <w:keepLines/>
        <w:tabs>
          <w:tab w:val="left" w:pos="900"/>
        </w:tabs>
        <w:spacing w:after="40"/>
        <w:ind w:left="900" w:hanging="360"/>
      </w:pPr>
      <w:r>
        <w:t>c.</w:t>
      </w:r>
      <w:r>
        <w:tab/>
        <w:t>Cold War priorities delayed desegregation by making civil rights claims appear subversive.</w:t>
      </w:r>
    </w:p>
    <w:p w14:paraId="7AEB793B" w14:textId="77777777" w:rsidR="007F1C65" w:rsidRDefault="00000000">
      <w:pPr>
        <w:keepLines/>
        <w:tabs>
          <w:tab w:val="left" w:pos="900"/>
        </w:tabs>
        <w:spacing w:after="40"/>
        <w:ind w:left="900" w:hanging="360"/>
      </w:pPr>
      <w:r>
        <w:t>d.</w:t>
      </w:r>
      <w:r>
        <w:tab/>
        <w:t>Soviet criticism of American racial practice was dismissed by US officials as baseless.</w:t>
      </w:r>
    </w:p>
    <w:p w14:paraId="1DE4DBDD" w14:textId="77777777" w:rsidR="00746654" w:rsidRDefault="00746654">
      <w:pPr>
        <w:pStyle w:val="Heading2"/>
      </w:pPr>
    </w:p>
    <w:p w14:paraId="1D4A9276" w14:textId="77777777" w:rsidR="00746654" w:rsidRDefault="00746654">
      <w:pPr>
        <w:pStyle w:val="Heading2"/>
      </w:pPr>
    </w:p>
    <w:p w14:paraId="7311BD1F" w14:textId="77777777" w:rsidR="00746654" w:rsidRDefault="00746654">
      <w:pPr>
        <w:pStyle w:val="Heading2"/>
      </w:pPr>
    </w:p>
    <w:p w14:paraId="00F25A36" w14:textId="77777777" w:rsidR="00746654" w:rsidRDefault="00746654">
      <w:pPr>
        <w:pStyle w:val="Heading2"/>
      </w:pPr>
    </w:p>
    <w:p w14:paraId="3696BFC0" w14:textId="0A913D89" w:rsidR="007F1C65" w:rsidRDefault="00000000">
      <w:pPr>
        <w:pStyle w:val="Heading2"/>
      </w:pPr>
      <w:r>
        <w:lastRenderedPageBreak/>
        <w:t>Section B. True or false</w:t>
      </w:r>
    </w:p>
    <w:p w14:paraId="5046F134" w14:textId="77777777" w:rsidR="007F1C65" w:rsidRDefault="00000000">
      <w:pPr>
        <w:spacing w:after="160"/>
      </w:pPr>
      <w:r>
        <w:rPr>
          <w:i/>
          <w:iCs/>
        </w:rPr>
        <w:t>Circle one. 3 points each.</w:t>
      </w:r>
    </w:p>
    <w:p w14:paraId="4CA04A88" w14:textId="77777777" w:rsidR="007F1C65" w:rsidRDefault="00000000">
      <w:pPr>
        <w:keepLines/>
        <w:tabs>
          <w:tab w:val="left" w:pos="560"/>
          <w:tab w:val="left" w:pos="1440"/>
        </w:tabs>
        <w:spacing w:before="200" w:after="60"/>
        <w:ind w:left="1440" w:hanging="1440"/>
      </w:pPr>
      <w:r>
        <w:t>18.</w:t>
      </w:r>
      <w:r>
        <w:tab/>
      </w:r>
      <w:r>
        <w:rPr>
          <w:b/>
          <w:bCs/>
        </w:rPr>
        <w:t>T    F</w:t>
      </w:r>
      <w:r>
        <w:tab/>
        <w:t>The term “Manifest Destiny” is attributed to John L. O’Sullivan, who coined it in 1845.</w:t>
      </w:r>
    </w:p>
    <w:p w14:paraId="3C5819CD" w14:textId="77777777" w:rsidR="007F1C65" w:rsidRDefault="00000000">
      <w:pPr>
        <w:keepLines/>
        <w:tabs>
          <w:tab w:val="left" w:pos="560"/>
          <w:tab w:val="left" w:pos="1440"/>
        </w:tabs>
        <w:spacing w:before="200" w:after="60"/>
        <w:ind w:left="1440" w:hanging="1440"/>
      </w:pPr>
      <w:r>
        <w:t>19.</w:t>
      </w:r>
      <w:r>
        <w:tab/>
      </w:r>
      <w:r>
        <w:rPr>
          <w:b/>
          <w:bCs/>
        </w:rPr>
        <w:t>T    F</w:t>
      </w:r>
      <w:r>
        <w:tab/>
        <w:t>The Truman Doctrine was announced in George Marshall’s June 1947 Harvard commencement address.</w:t>
      </w:r>
    </w:p>
    <w:p w14:paraId="1AE29183" w14:textId="77777777" w:rsidR="007F1C65" w:rsidRDefault="00000000">
      <w:pPr>
        <w:keepLines/>
        <w:tabs>
          <w:tab w:val="left" w:pos="560"/>
          <w:tab w:val="left" w:pos="1440"/>
        </w:tabs>
        <w:spacing w:before="200" w:after="60"/>
        <w:ind w:left="1440" w:hanging="1440"/>
      </w:pPr>
      <w:r>
        <w:t>20.</w:t>
      </w:r>
      <w:r>
        <w:tab/>
      </w:r>
      <w:r>
        <w:rPr>
          <w:b/>
          <w:bCs/>
        </w:rPr>
        <w:t>T    F</w:t>
      </w:r>
      <w:r>
        <w:tab/>
        <w:t>World War II ended the Great Depression: recovery in the United States began only with wartime mobilization.</w:t>
      </w:r>
    </w:p>
    <w:p w14:paraId="00F4FF5F" w14:textId="77777777" w:rsidR="007F1C65" w:rsidRDefault="00000000">
      <w:r>
        <w:br w:type="page"/>
      </w:r>
    </w:p>
    <w:p w14:paraId="51F59C81" w14:textId="77777777" w:rsidR="007F1C65" w:rsidRDefault="00000000">
      <w:pPr>
        <w:pStyle w:val="Heading1"/>
      </w:pPr>
      <w:r>
        <w:lastRenderedPageBreak/>
        <w:t>Part II. Short Answer</w:t>
      </w:r>
    </w:p>
    <w:p w14:paraId="5681D528" w14:textId="23815844" w:rsidR="007F1C65" w:rsidRDefault="00000000">
      <w:pPr>
        <w:spacing w:after="200"/>
      </w:pPr>
      <w:r>
        <w:rPr>
          <w:i/>
          <w:iCs/>
        </w:rPr>
        <w:t>Answer both questions in roughly 125–175 words each—about one good paragraph. Be direct: a precise claim supported by one or two specifics</w:t>
      </w:r>
      <w:r w:rsidR="00746654">
        <w:rPr>
          <w:i/>
          <w:iCs/>
        </w:rPr>
        <w:t xml:space="preserve"> demonstrating engagement with the material</w:t>
      </w:r>
      <w:r>
        <w:rPr>
          <w:i/>
          <w:iCs/>
        </w:rPr>
        <w:t xml:space="preserve"> will earn more than a </w:t>
      </w:r>
      <w:r w:rsidR="003451F2">
        <w:rPr>
          <w:i/>
          <w:iCs/>
        </w:rPr>
        <w:t>broad/</w:t>
      </w:r>
      <w:r w:rsidR="008D0819">
        <w:rPr>
          <w:i/>
          <w:iCs/>
        </w:rPr>
        <w:t>vague</w:t>
      </w:r>
      <w:r>
        <w:rPr>
          <w:i/>
          <w:iCs/>
        </w:rPr>
        <w:t xml:space="preserve"> survey. 20 points each.</w:t>
      </w:r>
    </w:p>
    <w:p w14:paraId="4DDB5219" w14:textId="77777777" w:rsidR="007F1C65" w:rsidRDefault="00000000">
      <w:pPr>
        <w:pStyle w:val="Heading3"/>
        <w:keepNext/>
      </w:pPr>
      <w:r>
        <w:t>Question 1</w:t>
      </w:r>
    </w:p>
    <w:p w14:paraId="71E95881" w14:textId="72786ED1" w:rsidR="007F1C65" w:rsidRDefault="00000000">
      <w:pPr>
        <w:keepLines/>
        <w:spacing w:after="160"/>
      </w:pPr>
      <w:r>
        <w:t>Washington’s Farewell Address is routinely cited as a call for isolationism. Explain why that reading is imprecise, and state what the Address actually recommends.</w:t>
      </w:r>
      <w:r w:rsidR="00B53E4B">
        <w:t xml:space="preserve"> How does this compare to the course of American foreign policy over the 19</w:t>
      </w:r>
      <w:r w:rsidR="00B53E4B" w:rsidRPr="00B53E4B">
        <w:rPr>
          <w:vertAlign w:val="superscript"/>
        </w:rPr>
        <w:t>th</w:t>
      </w:r>
      <w:r w:rsidR="00B53E4B">
        <w:t xml:space="preserve"> and 20</w:t>
      </w:r>
      <w:r w:rsidR="00B53E4B" w:rsidRPr="00B53E4B">
        <w:rPr>
          <w:vertAlign w:val="superscript"/>
        </w:rPr>
        <w:t>th</w:t>
      </w:r>
      <w:r w:rsidR="00B53E4B">
        <w:t xml:space="preserve"> centuries?</w:t>
      </w:r>
    </w:p>
    <w:p w14:paraId="1FF53B63" w14:textId="77777777" w:rsidR="007F1C65" w:rsidRDefault="007F1C65"/>
    <w:p w14:paraId="1DF3F572" w14:textId="77777777" w:rsidR="007F1C65" w:rsidRDefault="007F1C65"/>
    <w:p w14:paraId="331BDDE6" w14:textId="77777777" w:rsidR="007F1C65" w:rsidRDefault="007F1C65"/>
    <w:p w14:paraId="4F1C7EF8" w14:textId="77777777" w:rsidR="007F1C65" w:rsidRDefault="007F1C65"/>
    <w:p w14:paraId="133FD5B3" w14:textId="77777777" w:rsidR="007F1C65" w:rsidRDefault="007F1C65"/>
    <w:p w14:paraId="12F5F332" w14:textId="77777777" w:rsidR="007F1C65" w:rsidRDefault="007F1C65"/>
    <w:p w14:paraId="007F7D5D" w14:textId="77777777" w:rsidR="007F1C65" w:rsidRDefault="007F1C65"/>
    <w:p w14:paraId="35F9151A" w14:textId="77777777" w:rsidR="007F1C65" w:rsidRDefault="007F1C65"/>
    <w:p w14:paraId="2FAB68C1" w14:textId="77777777" w:rsidR="007F1C65" w:rsidRDefault="007F1C65"/>
    <w:p w14:paraId="5DDE7F0A" w14:textId="77777777" w:rsidR="007F1C65" w:rsidRDefault="00000000">
      <w:r>
        <w:br w:type="page"/>
      </w:r>
    </w:p>
    <w:p w14:paraId="3BBC950D" w14:textId="77777777" w:rsidR="007F1C65" w:rsidRDefault="00000000">
      <w:pPr>
        <w:pStyle w:val="Heading3"/>
        <w:keepNext/>
      </w:pPr>
      <w:r>
        <w:lastRenderedPageBreak/>
        <w:t>Question 2</w:t>
      </w:r>
    </w:p>
    <w:p w14:paraId="4CAED536" w14:textId="77777777" w:rsidR="007F1C65" w:rsidRDefault="00000000">
      <w:pPr>
        <w:keepLines/>
        <w:spacing w:after="160"/>
      </w:pPr>
      <w:r>
        <w:t>American foreign policy is often explained as a response to threats and events abroad. Across this unit, however, domestic politics repeatedly shaped foreign policy outcomes. Using two examples from different periods, explain how a domestic interest, coalition, or institution shaped a specific foreign policy outcome. What do your examples suggest about the relationship between domestic politics and foreign policy over time?</w:t>
      </w:r>
    </w:p>
    <w:p w14:paraId="6A364903" w14:textId="77777777" w:rsidR="007F1C65" w:rsidRDefault="007F1C65"/>
    <w:p w14:paraId="3F9BF479" w14:textId="77777777" w:rsidR="007F1C65" w:rsidRDefault="007F1C65"/>
    <w:p w14:paraId="5CFE8D83" w14:textId="77777777" w:rsidR="007F1C65" w:rsidRDefault="007F1C65"/>
    <w:p w14:paraId="2C87C657" w14:textId="77777777" w:rsidR="007F1C65" w:rsidRDefault="007F1C65"/>
    <w:p w14:paraId="6FD0B2B9" w14:textId="77777777" w:rsidR="007F1C65" w:rsidRDefault="007F1C65"/>
    <w:p w14:paraId="3465491C" w14:textId="77777777" w:rsidR="007F1C65" w:rsidRDefault="007F1C65"/>
    <w:p w14:paraId="2CB29236" w14:textId="77777777" w:rsidR="007F1C65" w:rsidRDefault="007F1C65"/>
    <w:p w14:paraId="599FEFB1" w14:textId="77777777" w:rsidR="007F1C65" w:rsidRDefault="007F1C65"/>
    <w:p w14:paraId="67BB3D7A" w14:textId="77777777" w:rsidR="007F1C65" w:rsidRDefault="007F1C65"/>
    <w:sectPr w:rsidR="007F1C65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9460F0" w14:textId="77777777" w:rsidR="004A0D97" w:rsidRDefault="004A0D97">
      <w:pPr>
        <w:spacing w:line="240" w:lineRule="auto"/>
      </w:pPr>
      <w:r>
        <w:separator/>
      </w:r>
    </w:p>
  </w:endnote>
  <w:endnote w:type="continuationSeparator" w:id="0">
    <w:p w14:paraId="3D96A68F" w14:textId="77777777" w:rsidR="004A0D97" w:rsidRDefault="004A0D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BC37A9" w14:textId="77777777" w:rsidR="007F1C65" w:rsidRDefault="00000000">
    <w:pPr>
      <w:spacing w:line="240" w:lineRule="auto"/>
      <w:jc w:val="center"/>
    </w:pPr>
    <w:r>
      <w:rPr>
        <w:sz w:val="18"/>
        <w:szCs w:val="18"/>
      </w:rPr>
      <w:t xml:space="preserve">POLSC 343 Exam 1—page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23C7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D23C7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4C2BC3" w14:textId="77777777" w:rsidR="004A0D97" w:rsidRDefault="004A0D97">
      <w:pPr>
        <w:spacing w:line="240" w:lineRule="auto"/>
      </w:pPr>
      <w:r>
        <w:separator/>
      </w:r>
    </w:p>
  </w:footnote>
  <w:footnote w:type="continuationSeparator" w:id="0">
    <w:p w14:paraId="2B1086C7" w14:textId="77777777" w:rsidR="004A0D97" w:rsidRDefault="004A0D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3224C"/>
    <w:multiLevelType w:val="hybridMultilevel"/>
    <w:tmpl w:val="0B088074"/>
    <w:lvl w:ilvl="0" w:tplc="68AE576E">
      <w:start w:val="1"/>
      <w:numFmt w:val="bullet"/>
      <w:lvlText w:val="●"/>
      <w:lvlJc w:val="left"/>
      <w:pPr>
        <w:ind w:left="720" w:hanging="360"/>
      </w:pPr>
    </w:lvl>
    <w:lvl w:ilvl="1" w:tplc="783AE57E">
      <w:start w:val="1"/>
      <w:numFmt w:val="bullet"/>
      <w:lvlText w:val="○"/>
      <w:lvlJc w:val="left"/>
      <w:pPr>
        <w:ind w:left="1440" w:hanging="360"/>
      </w:pPr>
    </w:lvl>
    <w:lvl w:ilvl="2" w:tplc="AD84360A">
      <w:start w:val="1"/>
      <w:numFmt w:val="bullet"/>
      <w:lvlText w:val="■"/>
      <w:lvlJc w:val="left"/>
      <w:pPr>
        <w:ind w:left="2160" w:hanging="360"/>
      </w:pPr>
    </w:lvl>
    <w:lvl w:ilvl="3" w:tplc="A68A868A">
      <w:start w:val="1"/>
      <w:numFmt w:val="bullet"/>
      <w:lvlText w:val="●"/>
      <w:lvlJc w:val="left"/>
      <w:pPr>
        <w:ind w:left="2880" w:hanging="360"/>
      </w:pPr>
    </w:lvl>
    <w:lvl w:ilvl="4" w:tplc="069CED62">
      <w:start w:val="1"/>
      <w:numFmt w:val="bullet"/>
      <w:lvlText w:val="○"/>
      <w:lvlJc w:val="left"/>
      <w:pPr>
        <w:ind w:left="3600" w:hanging="360"/>
      </w:pPr>
    </w:lvl>
    <w:lvl w:ilvl="5" w:tplc="7D22E144">
      <w:start w:val="1"/>
      <w:numFmt w:val="bullet"/>
      <w:lvlText w:val="■"/>
      <w:lvlJc w:val="left"/>
      <w:pPr>
        <w:ind w:left="4320" w:hanging="360"/>
      </w:pPr>
    </w:lvl>
    <w:lvl w:ilvl="6" w:tplc="788AD6BC">
      <w:start w:val="1"/>
      <w:numFmt w:val="bullet"/>
      <w:lvlText w:val="●"/>
      <w:lvlJc w:val="left"/>
      <w:pPr>
        <w:ind w:left="5040" w:hanging="360"/>
      </w:pPr>
    </w:lvl>
    <w:lvl w:ilvl="7" w:tplc="71786D70">
      <w:start w:val="1"/>
      <w:numFmt w:val="bullet"/>
      <w:lvlText w:val="●"/>
      <w:lvlJc w:val="left"/>
      <w:pPr>
        <w:ind w:left="5760" w:hanging="360"/>
      </w:pPr>
    </w:lvl>
    <w:lvl w:ilvl="8" w:tplc="FA343456">
      <w:start w:val="1"/>
      <w:numFmt w:val="bullet"/>
      <w:lvlText w:val="●"/>
      <w:lvlJc w:val="left"/>
      <w:pPr>
        <w:ind w:left="6480" w:hanging="360"/>
      </w:pPr>
    </w:lvl>
  </w:abstractNum>
  <w:num w:numId="1" w16cid:durableId="1530946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C65"/>
    <w:rsid w:val="00113C60"/>
    <w:rsid w:val="001D4D0B"/>
    <w:rsid w:val="001E057D"/>
    <w:rsid w:val="003451F2"/>
    <w:rsid w:val="0037781D"/>
    <w:rsid w:val="004A0D97"/>
    <w:rsid w:val="006E1BFE"/>
    <w:rsid w:val="00746654"/>
    <w:rsid w:val="007F1C65"/>
    <w:rsid w:val="008D0819"/>
    <w:rsid w:val="009A6044"/>
    <w:rsid w:val="00B53E4B"/>
    <w:rsid w:val="00BB7FF2"/>
    <w:rsid w:val="00C05432"/>
    <w:rsid w:val="00D23C7A"/>
    <w:rsid w:val="00E73892"/>
    <w:rsid w:val="00FE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1439F"/>
  <w15:docId w15:val="{1FD0BA83-B718-2E45-B74D-A1E1341F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jc w:val="center"/>
    </w:pPr>
    <w:rPr>
      <w:b/>
      <w:bCs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1694</Words>
  <Characters>9661</Characters>
  <Application>Microsoft Office Word</Application>
  <DocSecurity>0</DocSecurity>
  <Lines>80</Lines>
  <Paragraphs>22</Paragraphs>
  <ScaleCrop>false</ScaleCrop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Flynn</cp:lastModifiedBy>
  <cp:revision>15</cp:revision>
  <dcterms:created xsi:type="dcterms:W3CDTF">2026-09-24T20:45:00Z</dcterms:created>
  <dcterms:modified xsi:type="dcterms:W3CDTF">2026-09-24T20:56:00Z</dcterms:modified>
</cp:coreProperties>
</file>