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 Makeup Version—Answer Key and Grading Notes</w:t>
      </w:r>
    </w:p>
    <w:p>
      <w:pPr>
        <w:spacing w:after="240" w:line="360" w:lineRule="auto"/>
        <w:jc w:val="center"/>
      </w:pPr>
      <w:r>
        <w:rPr>
          <w:i/>
          <w:iCs/>
          <w:sz w:val="20"/>
          <w:szCs w:val="20"/>
        </w:rPr>
        <w:t xml:space="preserve">Instructor copy—do not distribute</w:t>
      </w:r>
    </w:p>
    <w:p>
      <w:pPr>
        <w:pBdr>
          <w:bottom w:val="single" w:color="999999" w:sz="6" w:space="4"/>
        </w:pBdr>
        <w:spacing w:after="200" w:before="120"/>
      </w:pPr>
      <w:r>
        <w:rPr>
          <w:sz w:val="2"/>
          <w:szCs w:val="2"/>
        </w:rPr>
        <w:t xml:space="preserve"/>
      </w:r>
    </w:p>
    <w:p>
      <w:pPr>
        <w:pStyle w:val="Heading1"/>
      </w:pPr>
      <w:r>
        <w:t xml:space="preserve">Quick key</w:t>
      </w:r>
    </w:p>
    <w:p>
      <w:pPr>
        <w:spacing w:after="40" w:before="0" w:line="360" w:lineRule="auto"/>
      </w:pPr>
      <w:r>
        <w:rPr>
          <w:b w:val="false"/>
          <w:bCs w:val="false"/>
          <w:i w:val="false"/>
          <w:iCs w:val="false"/>
          <w:sz w:val="22"/>
          <w:szCs w:val="22"/>
        </w:rPr>
        <w:t xml:space="preserve">1b   2d   3c   4a   5c   6b   7d   8a   9b   10c   11a   12c   13d   14b   15a   16d   17c</w:t>
      </w:r>
    </w:p>
    <w:p>
      <w:pPr>
        <w:spacing w:after="120" w:before="0" w:line="360" w:lineRule="auto"/>
      </w:pPr>
      <w:r>
        <w:rPr>
          <w:b w:val="false"/>
          <w:bCs w:val="false"/>
          <w:i w:val="false"/>
          <w:iCs w:val="false"/>
          <w:sz w:val="22"/>
          <w:szCs w:val="22"/>
        </w:rPr>
        <w:t xml:space="preserve">18F   19T   20F</w:t>
      </w:r>
    </w:p>
    <w:p>
      <w:pPr>
        <w:spacing w:after="160" w:before="0" w:line="360" w:lineRule="auto"/>
      </w:pPr>
      <w:r>
        <w:rPr>
          <w:b w:val="false"/>
          <w:bCs w:val="false"/>
          <w:i/>
          <w:iCs/>
          <w:sz w:val="22"/>
          <w:szCs w:val="22"/>
        </w:rPr>
        <w:t xml:space="preserve">Answer positions: 4 a, 4 b, 5 c, 4 d across the 17 multiple choice items, with no two consecutive questions sharing the same correct letter. True/false runs F, T, F.</w:t>
      </w:r>
    </w:p>
    <w:p>
      <w:pPr>
        <w:pStyle w:val="Heading2"/>
      </w:pPr>
      <w:r>
        <w:t xml:space="preserve">Time budget</w:t>
      </w:r>
    </w:p>
    <w:p>
      <w:pPr>
        <w:spacing w:after="120" w:before="0" w:line="360" w:lineRule="auto"/>
      </w:pPr>
      <w:r>
        <w:rPr>
          <w:b w:val="false"/>
          <w:bCs w:val="false"/>
          <w:i w:val="false"/>
          <w:iCs w:val="false"/>
          <w:sz w:val="22"/>
          <w:szCs w:val="22"/>
        </w:rPr>
        <w:t xml:space="preserve">7 of the 20 objective items (35%) are basic recall and should take 20–30 seconds each. The remaining 13 are analytic and run 60–90 seconds. Part I therefore lands near 18 minutes of working time for a prepared student, 21 with a review pass. Two paragraphs of 150 words, handwritten at roughly 18 words per minute with a minute of planning each, run about 19 minutes. Total working time is near 40 minutes, which leaves slack in a 50-minute period for distribution, settling, and the students who write slowly.</w:t>
      </w:r>
    </w:p>
    <w:p>
      <w:pPr>
        <w:spacing w:after="160" w:before="0" w:line="360" w:lineRule="auto"/>
      </w:pPr>
      <w:r>
        <w:rPr>
          <w:b w:val="false"/>
          <w:bCs w:val="false"/>
          <w:i/>
          <w:iCs/>
          <w:sz w:val="22"/>
          <w:szCs w:val="22"/>
        </w:rPr>
        <w:t xml:space="preserve">If the room still runs long, cut Question 2 of Part II and raise Part I to 4 points per item. Do not cut Part I items to buy time—they are the cheap minutes.</w:t>
      </w:r>
    </w:p>
    <w:p>
      <w:pPr>
        <w:pStyle w:val="Heading1"/>
      </w:pPr>
      <w:r>
        <w:t xml:space="preserve">Section A. Multiple choice</w:t>
      </w:r>
    </w:p>
    <w:p>
      <w:pPr>
        <w:keepNext/>
        <w:keepLines/>
        <w:spacing w:after="50" w:before="200" w:line="360" w:lineRule="auto"/>
        <w:ind w:left="400" w:hanging="400"/>
      </w:pPr>
      <w:r>
        <w:rPr>
          <w:b/>
          <w:bCs/>
          <w:sz w:val="22"/>
          <w:szCs w:val="22"/>
        </w:rPr>
        <w:t xml:space="preserve">1.   b. An economic doctrine holding that military power and economic influence complement each other, with policies favoring the mother country over its colonies and competitors.</w:t>
      </w:r>
      <w:r>
        <w:rPr>
          <w:b w:val="false"/>
          <w:bCs w:val="false"/>
          <w:sz w:val="19"/>
          <w:szCs w:val="19"/>
        </w:rPr>
        <w:t xml:space="preserve">   [recall]</w:t>
      </w:r>
    </w:p>
    <w:p>
      <w:pPr>
        <w:keepLines/>
        <w:spacing w:after="40" w:line="360" w:lineRule="auto"/>
        <w:ind w:left="400"/>
      </w:pPr>
      <w:r>
        <w:rPr>
          <w:i/>
          <w:iCs/>
          <w:sz w:val="21"/>
          <w:szCs w:val="21"/>
        </w:rPr>
        <w:t xml:space="preserve">Straight from the glossary (Frieden, Lake and Schultz). (a) is the Smith and Kant position mercantilism opposes; (c) is autarky; (d) describes early US revenue practice rather than the doctrine.</w:t>
      </w:r>
    </w:p>
    <w:p>
      <w:pPr>
        <w:keepNext/>
        <w:keepLines/>
        <w:spacing w:after="50" w:before="200" w:line="360" w:lineRule="auto"/>
        <w:ind w:left="400" w:hanging="400"/>
      </w:pPr>
      <w:r>
        <w:rPr>
          <w:b/>
          <w:bCs/>
          <w:sz w:val="22"/>
          <w:szCs w:val="22"/>
        </w:rPr>
        <w:t xml:space="preserve">2.   d. MIDs count only disputes between recognized nation-states, so force used against Native nations and the Barbary states falls outside the count—the data undercount US uses of force.</w:t>
      </w:r>
      <w:r>
        <w:rPr>
          <w:b w:val="false"/>
          <w:bCs w:val="false"/>
          <w:sz w:val="19"/>
          <w:szCs w:val="19"/>
        </w:rPr>
        <w:t xml:space="preserve">   [analytic]</w:t>
      </w:r>
    </w:p>
    <w:p>
      <w:pPr>
        <w:keepLines/>
        <w:spacing w:after="40" w:line="360" w:lineRule="auto"/>
        <w:ind w:left="400"/>
      </w:pPr>
      <w:r>
        <w:rPr>
          <w:i/>
          <w:iCs/>
          <w:sz w:val="21"/>
          <w:szCs w:val="21"/>
        </w:rPr>
        <w:t xml:space="preserve">State-to-state coding excludes Native nations, the Barbary pirates and similar actors. The direction of the error is the part students most often reverse. The broader lesson is that even while small and weak the US was using force widely—interventionism is not a Cold War invention.</w:t>
      </w:r>
    </w:p>
    <w:p>
      <w:pPr>
        <w:keepNext/>
        <w:keepLines/>
        <w:spacing w:after="50" w:before="200" w:line="360" w:lineRule="auto"/>
        <w:ind w:left="400" w:hanging="400"/>
      </w:pPr>
      <w:r>
        <w:rPr>
          <w:b/>
          <w:bCs/>
          <w:sz w:val="22"/>
          <w:szCs w:val="22"/>
        </w:rPr>
        <w:t xml:space="preserve">3.   c. It argues that a permanent standing army concentrated in federal hands endangers liberty—a warning worth contrasting with the permanent establishment the US actually built after 1945.</w:t>
      </w:r>
      <w:r>
        <w:rPr>
          <w:b w:val="false"/>
          <w:bCs w:val="false"/>
          <w:sz w:val="19"/>
          <w:szCs w:val="19"/>
        </w:rPr>
        <w:t xml:space="preserve">   [analytic]</w:t>
      </w:r>
    </w:p>
    <w:p>
      <w:pPr>
        <w:keepLines/>
        <w:spacing w:after="40" w:line="360" w:lineRule="auto"/>
        <w:ind w:left="400"/>
      </w:pPr>
      <w:r>
        <w:rPr>
          <w:i/>
          <w:iCs/>
          <w:sz w:val="21"/>
          <w:szCs w:val="21"/>
        </w:rPr>
        <w:t xml:space="preserve">(a) inverts the document—Brutus is Anti-Federalist. The pairing carries an argument: founding-era wariness of standing armies establishes that the post-1945 establishment is a rupture, not an American tradition.</w:t>
      </w:r>
    </w:p>
    <w:p>
      <w:pPr>
        <w:keepNext/>
        <w:keepLines/>
        <w:spacing w:after="50" w:before="200" w:line="360" w:lineRule="auto"/>
        <w:ind w:left="400" w:hanging="400"/>
      </w:pPr>
      <w:r>
        <w:rPr>
          <w:b/>
          <w:bCs/>
          <w:sz w:val="22"/>
          <w:szCs w:val="22"/>
        </w:rPr>
        <w:t xml:space="preserve">4.   a. Joint resolution of Congress, requiring only a simple majority in each chamber.</w:t>
      </w:r>
      <w:r>
        <w:rPr>
          <w:b w:val="false"/>
          <w:bCs w:val="false"/>
          <w:sz w:val="19"/>
          <w:szCs w:val="19"/>
        </w:rPr>
        <w:t xml:space="preserve">   [recall]</w:t>
      </w:r>
    </w:p>
    <w:p>
      <w:pPr>
        <w:keepLines/>
        <w:spacing w:after="40" w:line="360" w:lineRule="auto"/>
        <w:ind w:left="400"/>
      </w:pPr>
      <w:r>
        <w:rPr>
          <w:i/>
          <w:iCs/>
          <w:sz w:val="21"/>
          <w:szCs w:val="21"/>
        </w:rPr>
        <w:t xml:space="preserve">The joint resolution mattered precisely because a two-thirds Senate vote was out of reach. Southern states viewed annexation as essential to slavery; abolitionists feared it would entrench Southern control of the federal government. (d) is 1848 and settles a different question.</w:t>
      </w:r>
    </w:p>
    <w:p>
      <w:pPr>
        <w:keepNext/>
        <w:keepLines/>
        <w:spacing w:after="50" w:before="200" w:line="360" w:lineRule="auto"/>
        <w:ind w:left="400" w:hanging="400"/>
      </w:pPr>
      <w:r>
        <w:rPr>
          <w:b/>
          <w:bCs/>
          <w:sz w:val="22"/>
          <w:szCs w:val="22"/>
        </w:rPr>
        <w:t xml:space="preserve">5.   c. America should be the well-wisher of freedom everywhere but the champion and vindicator only of her own, and involvement in foreign wars would change the fundamental principles of American policy.</w:t>
      </w:r>
      <w:r>
        <w:rPr>
          <w:b w:val="false"/>
          <w:bCs w:val="false"/>
          <w:sz w:val="19"/>
          <w:szCs w:val="19"/>
        </w:rPr>
        <w:t xml:space="preserve">   [analytic]</w:t>
      </w:r>
    </w:p>
    <w:p>
      <w:pPr>
        <w:keepLines/>
        <w:spacing w:after="40" w:line="360" w:lineRule="auto"/>
        <w:ind w:left="400"/>
      </w:pPr>
      <w:r>
        <w:rPr>
          <w:i/>
          <w:iCs/>
          <w:sz w:val="21"/>
          <w:szCs w:val="21"/>
        </w:rPr>
        <w:t xml:space="preserve">The warning about altered principles does the analytic work—it is a claim about what intervention does to the intervening state, not merely about cost or risk. Puts Adams in the same column as Brutus X and the Farewell Address.</w:t>
      </w:r>
    </w:p>
    <w:p>
      <w:pPr>
        <w:keepNext/>
        <w:keepLines/>
        <w:spacing w:after="50" w:before="200" w:line="360" w:lineRule="auto"/>
        <w:ind w:left="400" w:hanging="400"/>
      </w:pPr>
      <w:r>
        <w:rPr>
          <w:b/>
          <w:bCs/>
          <w:sz w:val="22"/>
          <w:szCs w:val="22"/>
        </w:rPr>
        <w:t xml:space="preserve">6.   b. The US lacked the naval capacity to enforce it and depended substantially on the British navy for roughly a century.</w:t>
      </w:r>
      <w:r>
        <w:rPr>
          <w:b w:val="false"/>
          <w:bCs w:val="false"/>
          <w:sz w:val="19"/>
          <w:szCs w:val="19"/>
        </w:rPr>
        <w:t xml:space="preserve">   [analytic]</w:t>
      </w:r>
    </w:p>
    <w:p>
      <w:pPr>
        <w:keepLines/>
        <w:spacing w:after="40" w:line="360" w:lineRule="auto"/>
        <w:ind w:left="400"/>
      </w:pPr>
      <w:r>
        <w:rPr>
          <w:i/>
          <w:iCs/>
          <w:sz w:val="21"/>
          <w:szCs w:val="21"/>
        </w:rPr>
        <w:t xml:space="preserve">A declaration the declaring state could not enforce; British sea power did the work. (c) is built from a true clause—the Doctrine did pledge not to interfere with existing colonies—that is not the enforcement problem.</w:t>
      </w:r>
    </w:p>
    <w:p>
      <w:pPr>
        <w:keepNext/>
        <w:keepLines/>
        <w:spacing w:after="50" w:before="200" w:line="360" w:lineRule="auto"/>
        <w:ind w:left="400" w:hanging="400"/>
      </w:pPr>
      <w:r>
        <w:rPr>
          <w:b/>
          <w:bCs/>
          <w:sz w:val="22"/>
          <w:szCs w:val="22"/>
        </w:rPr>
        <w:t xml:space="preserve">7.   d. The tariff was the federal government’s revenue source, and while higher tariffs meant more revenue they had different effects on different regions, depending on their economic makeup and reliance on imports.</w:t>
      </w:r>
      <w:r>
        <w:rPr>
          <w:b w:val="false"/>
          <w:bCs w:val="false"/>
          <w:sz w:val="19"/>
          <w:szCs w:val="19"/>
        </w:rPr>
        <w:t xml:space="preserve">   [analytic]</w:t>
      </w:r>
    </w:p>
    <w:p>
      <w:pPr>
        <w:keepLines/>
        <w:spacing w:after="40" w:line="360" w:lineRule="auto"/>
        <w:ind w:left="400"/>
      </w:pPr>
      <w:r>
        <w:rPr>
          <w:i/>
          <w:iCs/>
          <w:sz w:val="21"/>
          <w:szCs w:val="21"/>
        </w:rPr>
        <w:t xml:space="preserve">There would be no income tax for another century, so the tariff was the revenue instrument—and its burden fell unevenly by region, depending on economic makeup and reliance on imports. That is why the revenue-versus-protection line was never clean in practice, why South Carolina’s grievance was plausible to those who held it, and why tariff politics becomes the through-line of the course.</w:t>
      </w:r>
    </w:p>
    <w:p>
      <w:pPr>
        <w:keepNext/>
        <w:keepLines/>
        <w:spacing w:after="50" w:before="200" w:line="360" w:lineRule="auto"/>
        <w:ind w:left="400" w:hanging="400"/>
      </w:pPr>
      <w:r>
        <w:rPr>
          <w:b/>
          <w:bCs/>
          <w:sz w:val="22"/>
          <w:szCs w:val="22"/>
        </w:rPr>
        <w:t xml:space="preserve">8.   a. The Doctrine could be read as a mandate for hemispheric primacy or as a commitment to stay out of other hemispheres, and religious argument could authorize either a civilizing mission or a warning against empire.</w:t>
      </w:r>
      <w:r>
        <w:rPr>
          <w:b w:val="false"/>
          <w:bCs w:val="false"/>
          <w:sz w:val="19"/>
          <w:szCs w:val="19"/>
        </w:rPr>
        <w:t xml:space="preserve">   [analytic]</w:t>
      </w:r>
    </w:p>
    <w:p>
      <w:pPr>
        <w:keepLines/>
        <w:spacing w:after="40" w:line="360" w:lineRule="auto"/>
        <w:ind w:left="400"/>
      </w:pPr>
      <w:r>
        <w:rPr>
          <w:i/>
          <w:iCs/>
          <w:sz w:val="21"/>
          <w:szCs w:val="21"/>
        </w:rPr>
        <w:t xml:space="preserve">Shared texts do not produce shared conclusions. The debate was genuinely contested and legislators were strategic about it—the fight over monitor-style ships against a blue-water fleet is the same argument conducted through force structure.</w:t>
      </w:r>
    </w:p>
    <w:p>
      <w:pPr>
        <w:keepNext/>
        <w:keepLines/>
        <w:spacing w:after="50" w:before="200" w:line="360" w:lineRule="auto"/>
        <w:ind w:left="400" w:hanging="400"/>
      </w:pPr>
      <w:r>
        <w:rPr>
          <w:b/>
          <w:bCs/>
          <w:sz w:val="22"/>
          <w:szCs w:val="22"/>
        </w:rPr>
        <w:t xml:space="preserve">9.   b. The Philippines, Guam, and Puerto Rico, along with a qualified position in Cuba; Hawaii was annexed separately the same year.</w:t>
      </w:r>
      <w:r>
        <w:rPr>
          <w:b w:val="false"/>
          <w:bCs w:val="false"/>
          <w:sz w:val="19"/>
          <w:szCs w:val="19"/>
        </w:rPr>
        <w:t xml:space="preserve">   [recall]</w:t>
      </w:r>
    </w:p>
    <w:p>
      <w:pPr>
        <w:keepLines/>
        <w:spacing w:after="40" w:line="360" w:lineRule="auto"/>
        <w:ind w:left="400"/>
      </w:pPr>
      <w:r>
        <w:rPr>
          <w:i/>
          <w:iCs/>
          <w:sz w:val="21"/>
          <w:szCs w:val="21"/>
        </w:rPr>
        <w:t xml:space="preserve">Hawaii was annexed in July 1898 on its own strategic logic—Pacific position and fear that a rising Japan would take it—not as a spoil of the war. Cuba is the qualified case (Guantanamo Bay).</w:t>
      </w:r>
    </w:p>
    <w:p>
      <w:pPr>
        <w:keepNext/>
        <w:keepLines/>
        <w:spacing w:after="50" w:before="200" w:line="360" w:lineRule="auto"/>
        <w:ind w:left="400" w:hanging="400"/>
      </w:pPr>
      <w:r>
        <w:rPr>
          <w:b/>
          <w:bCs/>
          <w:sz w:val="22"/>
          <w:szCs w:val="22"/>
        </w:rPr>
        <w:t xml:space="preserve">10.   c. Removal of economic barriers, self-determination, and a general association of nations—which reappear as the Bretton Woods system, the handling of colonial territories, and the UN.</w:t>
      </w:r>
      <w:r>
        <w:rPr>
          <w:b w:val="false"/>
          <w:bCs w:val="false"/>
          <w:sz w:val="19"/>
          <w:szCs w:val="19"/>
        </w:rPr>
        <w:t xml:space="preserve">   [analytic]</w:t>
      </w:r>
    </w:p>
    <w:p>
      <w:pPr>
        <w:keepLines/>
        <w:spacing w:after="40" w:line="360" w:lineRule="auto"/>
        <w:ind w:left="400"/>
      </w:pPr>
      <w:r>
        <w:rPr>
          <w:i/>
          <w:iCs/>
          <w:sz w:val="21"/>
          <w:szCs w:val="21"/>
        </w:rPr>
        <w:t xml:space="preserve">The blueprint fails in 1919 and largely succeeds, altered, after 1945—the contrast the unit is built around. (a) is wrong because the naval conferences lapse rather than institutionalize anything.</w:t>
      </w:r>
    </w:p>
    <w:p>
      <w:pPr>
        <w:keepNext/>
        <w:keepLines/>
        <w:spacing w:after="50" w:before="200" w:line="360" w:lineRule="auto"/>
        <w:ind w:left="400" w:hanging="400"/>
      </w:pPr>
      <w:r>
        <w:rPr>
          <w:b/>
          <w:bCs/>
          <w:sz w:val="22"/>
          <w:szCs w:val="22"/>
        </w:rPr>
        <w:t xml:space="preserve">11.   a. Marshall framed the program as directed “not against any country or doctrine but against hunger, poverty, desperation and chaos,” and the Soviets were invited to participate and refused.</w:t>
      </w:r>
      <w:r>
        <w:rPr>
          <w:b w:val="false"/>
          <w:bCs w:val="false"/>
          <w:sz w:val="19"/>
          <w:szCs w:val="19"/>
        </w:rPr>
        <w:t xml:space="preserve">   [analytic]</w:t>
      </w:r>
    </w:p>
    <w:p>
      <w:pPr>
        <w:keepLines/>
        <w:spacing w:after="40" w:line="360" w:lineRule="auto"/>
        <w:ind w:left="400"/>
      </w:pPr>
      <w:r>
        <w:rPr>
          <w:i/>
          <w:iCs/>
          <w:sz w:val="21"/>
          <w:szCs w:val="21"/>
        </w:rPr>
        <w:t xml:space="preserve">The framing matters, and so does the invitation: Stalin’s refusal of a genuine offer did political work that exclusion could not have done. The program also catalyzed the OEEC, which becomes today’s OECD.</w:t>
      </w:r>
    </w:p>
    <w:p>
      <w:pPr>
        <w:keepNext/>
        <w:keepLines/>
        <w:spacing w:after="50" w:before="200" w:line="360" w:lineRule="auto"/>
        <w:ind w:left="400" w:hanging="400"/>
      </w:pPr>
      <w:r>
        <w:rPr>
          <w:b/>
          <w:bCs/>
          <w:sz w:val="22"/>
          <w:szCs w:val="22"/>
        </w:rPr>
        <w:t xml:space="preserve">12.   c. George Kennan wrote the Long Telegram and the X Article; Paul Nitze was principal author of NSC-68.</w:t>
      </w:r>
      <w:r>
        <w:rPr>
          <w:b w:val="false"/>
          <w:bCs w:val="false"/>
          <w:sz w:val="19"/>
          <w:szCs w:val="19"/>
        </w:rPr>
        <w:t xml:space="preserve">   [recall]</w:t>
      </w:r>
    </w:p>
    <w:p>
      <w:pPr>
        <w:keepLines/>
        <w:spacing w:after="40" w:line="360" w:lineRule="auto"/>
        <w:ind w:left="400"/>
      </w:pPr>
      <w:r>
        <w:rPr>
          <w:i/>
          <w:iCs/>
          <w:sz w:val="21"/>
          <w:szCs w:val="21"/>
        </w:rPr>
        <w:t xml:space="preserve">Kennan: the Long Telegram (1946) and “The Sources of Soviet Conduct” (Foreign Affairs, 1947). Nitze: NSC-68 (1950). (a) is the trap, with the two names reversed.</w:t>
      </w:r>
    </w:p>
    <w:p>
      <w:pPr>
        <w:keepNext/>
        <w:keepLines/>
        <w:spacing w:after="50" w:before="200" w:line="360" w:lineRule="auto"/>
        <w:ind w:left="400" w:hanging="400"/>
      </w:pPr>
      <w:r>
        <w:rPr>
          <w:b/>
          <w:bCs/>
          <w:sz w:val="22"/>
          <w:szCs w:val="22"/>
        </w:rPr>
        <w:t xml:space="preserve">13.   d. Discouraging another actor from taking an action by making the negative consequences of that action clear—which requires that the threat be credible.</w:t>
      </w:r>
      <w:r>
        <w:rPr>
          <w:b w:val="false"/>
          <w:bCs w:val="false"/>
          <w:sz w:val="19"/>
          <w:szCs w:val="19"/>
        </w:rPr>
        <w:t xml:space="preserve">   [recall]</w:t>
      </w:r>
    </w:p>
    <w:p>
      <w:pPr>
        <w:keepLines/>
        <w:spacing w:after="40" w:line="360" w:lineRule="auto"/>
        <w:ind w:left="400"/>
      </w:pPr>
      <w:r>
        <w:rPr>
          <w:i/>
          <w:iCs/>
          <w:sz w:val="21"/>
          <w:szCs w:val="21"/>
        </w:rPr>
        <w:t xml:space="preserve">Discouraging, not reversing—(a) is compellence. (b) is burden sharing and (c) is the security dilemma, both also on the glossary. Credibility is the element that must appear for full credit.</w:t>
      </w:r>
    </w:p>
    <w:p>
      <w:pPr>
        <w:keepNext/>
        <w:keepLines/>
        <w:spacing w:after="50" w:before="200" w:line="360" w:lineRule="auto"/>
        <w:ind w:left="400" w:hanging="400"/>
      </w:pPr>
      <w:r>
        <w:rPr>
          <w:b/>
          <w:bCs/>
          <w:sz w:val="22"/>
          <w:szCs w:val="22"/>
        </w:rPr>
        <w:t xml:space="preserve">14.   b. Intra-European competition: American involvement eased fears that European states recovering and rearming would themselves become threats to their neighbors.</w:t>
      </w:r>
      <w:r>
        <w:rPr>
          <w:b w:val="false"/>
          <w:bCs w:val="false"/>
          <w:sz w:val="19"/>
          <w:szCs w:val="19"/>
        </w:rPr>
        <w:t xml:space="preserve">   [analytic]</w:t>
      </w:r>
    </w:p>
    <w:p>
      <w:pPr>
        <w:keepLines/>
        <w:spacing w:after="40" w:line="360" w:lineRule="auto"/>
        <w:ind w:left="400"/>
      </w:pPr>
      <w:r>
        <w:rPr>
          <w:i/>
          <w:iCs/>
          <w:sz w:val="21"/>
          <w:szCs w:val="21"/>
        </w:rPr>
        <w:t xml:space="preserve">The security dilemma among the Europeans themselves, with the US serving as a kind of referee—which mattered most for France and Germany, given their history. (a) inverts the record: Wilson’s conduct at Paris in 1919 left independence movements wary of the US.</w:t>
      </w:r>
    </w:p>
    <w:p>
      <w:pPr>
        <w:keepNext/>
        <w:keepLines/>
        <w:spacing w:after="50" w:before="200" w:line="360" w:lineRule="auto"/>
        <w:ind w:left="400" w:hanging="400"/>
      </w:pPr>
      <w:r>
        <w:rPr>
          <w:b/>
          <w:bCs/>
          <w:sz w:val="22"/>
          <w:szCs w:val="22"/>
        </w:rPr>
        <w:t xml:space="preserve">15.   a. Party positions were not fixed: Republicans were the fiscally wary party in the early Cold War, and their positions shifted as defense dollars and Republican electoral strength both migrated to the South and West.</w:t>
      </w:r>
      <w:r>
        <w:rPr>
          <w:b w:val="false"/>
          <w:bCs w:val="false"/>
          <w:sz w:val="19"/>
          <w:szCs w:val="19"/>
        </w:rPr>
        <w:t xml:space="preserve">   [analytic]</w:t>
      </w:r>
    </w:p>
    <w:p>
      <w:pPr>
        <w:keepLines/>
        <w:spacing w:after="40" w:line="360" w:lineRule="auto"/>
        <w:ind w:left="400"/>
      </w:pPr>
      <w:r>
        <w:rPr>
          <w:i/>
          <w:iCs/>
          <w:sz w:val="21"/>
          <w:szCs w:val="21"/>
        </w:rPr>
        <w:t xml:space="preserve">Finding plus mechanism—and the mechanism is geographic and economic, which is why the stickiness of bases sited in the 1940s matters so much to the argument.</w:t>
      </w:r>
    </w:p>
    <w:p>
      <w:pPr>
        <w:keepNext/>
        <w:keepLines/>
        <w:spacing w:after="50" w:before="200" w:line="360" w:lineRule="auto"/>
        <w:ind w:left="400" w:hanging="400"/>
      </w:pPr>
      <w:r>
        <w:rPr>
          <w:b/>
          <w:bCs/>
          <w:sz w:val="22"/>
          <w:szCs w:val="22"/>
        </w:rPr>
        <w:t xml:space="preserve">16.   d. Defense spending is spread across a very large number of congressional districts, while military personnel are far more geographically concentrated.</w:t>
      </w:r>
      <w:r>
        <w:rPr>
          <w:b w:val="false"/>
          <w:bCs w:val="false"/>
          <w:sz w:val="19"/>
          <w:szCs w:val="19"/>
        </w:rPr>
        <w:t xml:space="preserve">   [analytic]</w:t>
      </w:r>
    </w:p>
    <w:p>
      <w:pPr>
        <w:keepLines/>
        <w:spacing w:after="40" w:line="360" w:lineRule="auto"/>
        <w:ind w:left="400"/>
      </w:pPr>
      <w:r>
        <w:rPr>
          <w:i/>
          <w:iCs/>
          <w:sz w:val="21"/>
          <w:szCs w:val="21"/>
        </w:rPr>
        <w:t xml:space="preserve">The asymmetry is the political point. Because spending reaches so many districts, any proposed cut mobilizes a large number of members whose constituents have a direct economic stake—which converts a foreign policy question into a distributive politics question.</w:t>
      </w:r>
    </w:p>
    <w:p>
      <w:pPr>
        <w:keepNext/>
        <w:keepLines/>
        <w:spacing w:after="50" w:before="200" w:line="360" w:lineRule="auto"/>
        <w:ind w:left="400" w:hanging="400"/>
      </w:pPr>
      <w:r>
        <w:rPr>
          <w:b/>
          <w:bCs/>
          <w:sz w:val="22"/>
          <w:szCs w:val="22"/>
        </w:rPr>
        <w:t xml:space="preserve">17.   c. American segregation was a propaganda liability abroad, giving federal policymakers an international incentive to support desegregation that was independent of domestic moral or electoral pressure.</w:t>
      </w:r>
      <w:r>
        <w:rPr>
          <w:b w:val="false"/>
          <w:bCs w:val="false"/>
          <w:sz w:val="19"/>
          <w:szCs w:val="19"/>
        </w:rPr>
        <w:t xml:space="preserve">   [analytic]</w:t>
      </w:r>
    </w:p>
    <w:p>
      <w:pPr>
        <w:keepLines/>
        <w:spacing w:after="40" w:line="360" w:lineRule="auto"/>
        <w:ind w:left="400"/>
      </w:pPr>
      <w:r>
        <w:rPr>
          <w:i/>
          <w:iCs/>
          <w:sz w:val="21"/>
          <w:szCs w:val="21"/>
        </w:rPr>
        <w:t xml:space="preserve">The Justice Department’s amicus filings are the evidence to cite. (b) describes a real dynamic of the period—the red-baiting of rights claims—but it is not Dudziak’s thesis.</w:t>
      </w:r>
    </w:p>
    <w:p>
      <w:pPr>
        <w:pStyle w:val="Heading1"/>
      </w:pPr>
      <w:r>
        <w:t xml:space="preserve">Section B. True or false</w:t>
      </w:r>
    </w:p>
    <w:p>
      <w:pPr>
        <w:keepNext/>
        <w:keepLines/>
        <w:spacing w:after="50" w:before="200" w:line="360" w:lineRule="auto"/>
        <w:ind w:left="400" w:hanging="400"/>
      </w:pPr>
      <w:r>
        <w:rPr>
          <w:b/>
          <w:bCs/>
          <w:sz w:val="22"/>
          <w:szCs w:val="22"/>
        </w:rPr>
        <w:t xml:space="preserve">18.   FALSE</w:t>
      </w:r>
      <w:r>
        <w:rPr>
          <w:sz w:val="19"/>
          <w:szCs w:val="19"/>
        </w:rPr>
        <w:t xml:space="preserve">   [recall]</w:t>
      </w:r>
    </w:p>
    <w:p>
      <w:pPr>
        <w:keepLines/>
        <w:spacing w:after="40" w:line="360" w:lineRule="auto"/>
        <w:ind w:left="400"/>
      </w:pPr>
      <w:r>
        <w:rPr>
          <w:i/>
          <w:iCs/>
          <w:sz w:val="21"/>
          <w:szCs w:val="21"/>
        </w:rPr>
        <w:t xml:space="preserve">False—the two are being conflated. The Truman Doctrine is Truman’s March 1947 speech before Congress; Marshall’s June 1947 Harvard address announced the European Recovery Program.</w:t>
      </w:r>
    </w:p>
    <w:p>
      <w:pPr>
        <w:keepNext/>
        <w:keepLines/>
        <w:spacing w:after="50" w:before="200" w:line="360" w:lineRule="auto"/>
        <w:ind w:left="400" w:hanging="400"/>
      </w:pPr>
      <w:r>
        <w:rPr>
          <w:b/>
          <w:bCs/>
          <w:sz w:val="22"/>
          <w:szCs w:val="22"/>
        </w:rPr>
        <w:t xml:space="preserve">19.   TRUE</w:t>
      </w:r>
      <w:r>
        <w:rPr>
          <w:sz w:val="19"/>
          <w:szCs w:val="19"/>
        </w:rPr>
        <w:t xml:space="preserve">   [recall]</w:t>
      </w:r>
    </w:p>
    <w:p>
      <w:pPr>
        <w:keepLines/>
        <w:spacing w:after="40" w:line="360" w:lineRule="auto"/>
        <w:ind w:left="400"/>
      </w:pPr>
      <w:r>
        <w:rPr>
          <w:i/>
          <w:iCs/>
          <w:sz w:val="21"/>
          <w:szCs w:val="21"/>
        </w:rPr>
        <w:t xml:space="preserve">True. Worth remembering alongside the analytic point: it was a justifying slogan deployed by varied coalitions, not a single coherent doctrine.</w:t>
      </w:r>
    </w:p>
    <w:p>
      <w:pPr>
        <w:keepNext/>
        <w:keepLines/>
        <w:spacing w:after="50" w:before="200" w:line="360" w:lineRule="auto"/>
        <w:ind w:left="400" w:hanging="400"/>
      </w:pPr>
      <w:r>
        <w:rPr>
          <w:b/>
          <w:bCs/>
          <w:sz w:val="22"/>
          <w:szCs w:val="22"/>
        </w:rPr>
        <w:t xml:space="preserve">20.   FALSE</w:t>
      </w:r>
      <w:r>
        <w:rPr>
          <w:sz w:val="19"/>
          <w:szCs w:val="19"/>
        </w:rPr>
        <w:t xml:space="preserve">   [analytic]</w:t>
      </w:r>
    </w:p>
    <w:p>
      <w:pPr>
        <w:keepLines/>
        <w:spacing w:after="40" w:line="360" w:lineRule="auto"/>
        <w:ind w:left="400"/>
      </w:pPr>
      <w:r>
        <w:rPr>
          <w:i/>
          <w:iCs/>
          <w:sz w:val="21"/>
          <w:szCs w:val="21"/>
        </w:rPr>
        <w:t xml:space="preserve">False. Recovery was underway before the war, and the cuts to federal spending between 1936 and 1938—roughly 20 percent in nominal terms—stalled it and pushed the country back into recession. The study guide flags this belief as both inaccurate and dangerous, the danger being the implication that war is a growth strategy.</w:t>
      </w:r>
    </w:p>
    <w:p>
      <w:r>
        <w:br w:type="page"/>
      </w:r>
    </w:p>
    <w:p>
      <w:pPr>
        <w:pStyle w:val="Heading1"/>
      </w:pPr>
      <w:r>
        <w:t xml:space="preserve">Part II. Short answer rubrics</w:t>
      </w:r>
    </w:p>
    <w:p>
      <w:pPr>
        <w:spacing w:after="160" w:before="0" w:line="360" w:lineRule="auto"/>
      </w:pPr>
      <w:r>
        <w:rPr>
          <w:b w:val="false"/>
          <w:bCs w:val="false"/>
          <w:i/>
          <w:iCs/>
          <w:sz w:val="22"/>
          <w:szCs w:val="22"/>
        </w:rPr>
        <w:t xml:space="preserve">20 points each. Suggested allocation: 14 points for the required elements below, 6 for precision and organization. These are one-paragraph answers—grade for whether the student can state the point cleanly, not for how much they can fit on the page. An answer that recites correct facts without explaining how they connect caps at 10.</w:t>
      </w:r>
    </w:p>
    <w:p>
      <w:pPr>
        <w:pStyle w:val="Heading2"/>
      </w:pPr>
      <w:r>
        <w:t xml:space="preserve">Question 1</w:t>
      </w:r>
    </w:p>
    <w:p>
      <w:pPr>
        <w:spacing w:after="120" w:line="360" w:lineRule="auto"/>
      </w:pPr>
      <w:r>
        <w:rPr>
          <w:i/>
          <w:iCs/>
          <w:sz w:val="22"/>
          <w:szCs w:val="22"/>
        </w:rPr>
        <w:t xml:space="preserve">Explain why the decision to use atomic weapons against Japan cannot be fully understood as a decision about Japan alone.</w:t>
      </w:r>
    </w:p>
    <w:p>
      <w:pPr>
        <w:spacing w:after="100" w:line="360" w:lineRule="auto"/>
        <w:ind w:left="400" w:hanging="240"/>
      </w:pPr>
      <w:r>
        <w:rPr>
          <w:sz w:val="22"/>
          <w:szCs w:val="22"/>
        </w:rPr>
        <w:t xml:space="preserve">•   </w:t>
      </w:r>
      <w:r>
        <w:rPr>
          <w:sz w:val="22"/>
          <w:szCs w:val="22"/>
        </w:rPr>
        <w:t xml:space="preserve">Required—the Soviet motive: ending the Pacific war quickly was also a way to limit Soviet involvement in the Pacific and in the postwar settlement. A student who treats the decision as a straightforward calculation about Japanese surrender has not answered the question.</w:t>
      </w:r>
    </w:p>
    <w:p>
      <w:pPr>
        <w:spacing w:after="100" w:line="360" w:lineRule="auto"/>
        <w:ind w:left="400" w:hanging="240"/>
      </w:pPr>
      <w:r>
        <w:rPr>
          <w:sz w:val="22"/>
          <w:szCs w:val="22"/>
        </w:rPr>
        <w:t xml:space="preserve">•   </w:t>
      </w:r>
      <w:r>
        <w:rPr>
          <w:sz w:val="22"/>
          <w:szCs w:val="22"/>
        </w:rPr>
        <w:t xml:space="preserve">Required—the alternatives actually weighed: invasion, demonstration, or use. Invasion was argued to be too costly; a demonstration would spend a scarce weapon and might fail, which would have undermined the US bargaining position.</w:t>
      </w:r>
    </w:p>
    <w:p>
      <w:pPr>
        <w:spacing w:after="100" w:line="360" w:lineRule="auto"/>
        <w:ind w:left="400" w:hanging="240"/>
      </w:pPr>
      <w:r>
        <w:rPr>
          <w:sz w:val="22"/>
          <w:szCs w:val="22"/>
        </w:rPr>
        <w:t xml:space="preserve">•   </w:t>
      </w:r>
      <w:r>
        <w:rPr>
          <w:sz w:val="22"/>
          <w:szCs w:val="22"/>
        </w:rPr>
        <w:t xml:space="preserve">Credit, do not require: that Truman learned of the Manhattan Project only on taking office, April 12, 1945; Stimson’s role in opposing a demonstration and in removing Kyoto from the target list; Stimson’s later suggestion of sharing nuclear technology with the USSR to deflate postwar tensions.</w:t>
      </w:r>
    </w:p>
    <w:p>
      <w:pPr>
        <w:spacing w:after="100" w:line="360" w:lineRule="auto"/>
        <w:ind w:left="400" w:hanging="240"/>
      </w:pPr>
      <w:r>
        <w:rPr>
          <w:sz w:val="22"/>
          <w:szCs w:val="22"/>
        </w:rPr>
        <w:t xml:space="preserve">•   </w:t>
      </w:r>
      <w:r>
        <w:rPr>
          <w:sz w:val="22"/>
          <w:szCs w:val="22"/>
        </w:rPr>
        <w:t xml:space="preserve">Credit: connecting the decision to the emerging Cold War divide—the bomb as an instrument of postwar bargaining and not only of war termination.</w:t>
      </w:r>
    </w:p>
    <w:p>
      <w:pPr>
        <w:spacing w:after="100" w:line="360" w:lineRule="auto"/>
        <w:ind w:left="400" w:hanging="240"/>
      </w:pPr>
      <w:r>
        <w:rPr>
          <w:sz w:val="22"/>
          <w:szCs w:val="22"/>
        </w:rPr>
        <w:t xml:space="preserve">•   </w:t>
      </w:r>
      <w:r>
        <w:rPr>
          <w:sz w:val="22"/>
          <w:szCs w:val="22"/>
        </w:rPr>
        <w:t xml:space="preserve">At 125–175 words, expect the Soviet motive plus the three options, stated compactly. An answer that lists the options without the Soviet dimension caps at 12.</w:t>
      </w:r>
    </w:p>
    <w:p>
      <w:pPr>
        <w:pStyle w:val="Heading2"/>
      </w:pPr>
      <w:r>
        <w:t xml:space="preserve">Question 2</w:t>
      </w:r>
    </w:p>
    <w:p>
      <w:pPr>
        <w:spacing w:after="120" w:line="360" w:lineRule="auto"/>
      </w:pPr>
      <w:r>
        <w:rPr>
          <w:i/>
          <w:iCs/>
          <w:sz w:val="22"/>
          <w:szCs w:val="22"/>
        </w:rPr>
        <w:t xml:space="preserve">American foreign policy is often explained as a response to threats and events abroad. Across this unit, however, domestic politics repeatedly shaped foreign policy outcomes. Using two examples from different periods, explain how a domestic interest, coalition, or institution shaped a specific foreign policy outcome. What do your examples suggest about the relationship between domestic politics and foreign policy over time?</w:t>
      </w:r>
    </w:p>
    <w:p>
      <w:pPr>
        <w:spacing w:after="100" w:line="360" w:lineRule="auto"/>
        <w:ind w:left="400" w:hanging="240"/>
      </w:pPr>
      <w:r>
        <w:rPr>
          <w:sz w:val="22"/>
          <w:szCs w:val="22"/>
        </w:rPr>
        <w:t xml:space="preserve">•   </w:t>
      </w:r>
      <w:r>
        <w:rPr>
          <w:sz w:val="22"/>
          <w:szCs w:val="22"/>
        </w:rPr>
        <w:t xml:space="preserve">Required—two examples from different periods, each tied to a specific outcome with the domestic mechanism named. Strong candidates: tariff politics and the Nullification Crisis (regional economic interests, 1828–1833); slavery and the annexation of Texas; the monitor-versus-blue-water fight over ship design in the 1890s; Lodge, the Senate Foreign Relations Committee, and the rejection of Versailles; the Neutrality Acts; FDR siting bases in the South; divided government after 1946, Vandenberg, and the Republican fingerprints on the Marshall Plan and NATO; the wartime reversal of Republican trade positions (Hiscox); the migration of defense spending and Republican strength to the South and West (Fordham); the international incentive to support desegregation (Dudziak).</w:t>
      </w:r>
    </w:p>
    <w:p>
      <w:pPr>
        <w:spacing w:after="100" w:line="360" w:lineRule="auto"/>
        <w:ind w:left="400" w:hanging="240"/>
      </w:pPr>
      <w:r>
        <w:rPr>
          <w:sz w:val="22"/>
          <w:szCs w:val="22"/>
        </w:rPr>
        <w:t xml:space="preserve">•   </w:t>
      </w:r>
      <w:r>
        <w:rPr>
          <w:sz w:val="22"/>
          <w:szCs w:val="22"/>
        </w:rPr>
        <w:t xml:space="preserve">Required—the mechanism, not just the coincidence. A student who says “Congress opposed the League” has named an event; one who explains that opposition hinged on Article X and sovereignty, and that Lodge controlled the committee that set the agenda, has named a mechanism.</w:t>
      </w:r>
    </w:p>
    <w:p>
      <w:pPr>
        <w:spacing w:after="100" w:line="360" w:lineRule="auto"/>
        <w:ind w:left="400" w:hanging="240"/>
      </w:pPr>
      <w:r>
        <w:rPr>
          <w:sz w:val="22"/>
          <w:szCs w:val="22"/>
        </w:rPr>
        <w:t xml:space="preserve">•   </w:t>
      </w:r>
      <w:r>
        <w:rPr>
          <w:sz w:val="22"/>
          <w:szCs w:val="22"/>
        </w:rPr>
        <w:t xml:space="preserve">Required—the generalization the prompt asks for. The strongest answers identify a pattern: coalitions follow economic position and geography, so party positions on trade and military spending change as their bases change. Credit equally a student who argues that institutions—committee chairs, divided government—matter as much as interests.</w:t>
      </w:r>
    </w:p>
    <w:p>
      <w:pPr>
        <w:spacing w:after="100" w:line="360" w:lineRule="auto"/>
        <w:ind w:left="400" w:hanging="240"/>
      </w:pPr>
      <w:r>
        <w:rPr>
          <w:sz w:val="22"/>
          <w:szCs w:val="22"/>
        </w:rPr>
        <w:t xml:space="preserve">•   </w:t>
      </w:r>
      <w:r>
        <w:rPr>
          <w:sz w:val="22"/>
          <w:szCs w:val="22"/>
        </w:rPr>
        <w:t xml:space="preserve">Credit, do not require: that the international arena also reshapes domestic politics in return (Dudziak); or that the pattern calls the exogenous-threat account of the Cold War consensus into question.</w:t>
      </w:r>
    </w:p>
    <w:p>
      <w:pPr>
        <w:spacing w:after="100" w:line="360" w:lineRule="auto"/>
        <w:ind w:left="400" w:hanging="240"/>
      </w:pPr>
      <w:r>
        <w:rPr>
          <w:sz w:val="22"/>
          <w:szCs w:val="22"/>
        </w:rPr>
        <w:t xml:space="preserve">•   </w:t>
      </w:r>
      <w:r>
        <w:rPr>
          <w:sz w:val="22"/>
          <w:szCs w:val="22"/>
        </w:rPr>
        <w:t xml:space="preserve">At 125–175 words, expect two compact examples and a one- or two-sentence conclusion. Examples drawn from the same period (two Cold War cases, say) earn at most 14.</w:t>
      </w:r>
    </w:p>
    <w:p>
      <w:r>
        <w:br w:type="page"/>
      </w:r>
    </w:p>
    <w:p>
      <w:pPr>
        <w:pStyle w:val="Heading1"/>
      </w:pPr>
      <w:r>
        <w:t xml:space="preserve">Coverage map</w:t>
      </w:r>
    </w:p>
    <w:p>
      <w:pPr>
        <w:pStyle w:val="Heading2"/>
      </w:pPr>
      <w:r>
        <w:t xml:space="preserve">Relationship to the original exam</w:t>
      </w:r>
    </w:p>
    <w:p>
      <w:pPr>
        <w:spacing w:after="50" w:before="0" w:line="360" w:lineRule="auto"/>
      </w:pPr>
      <w:r>
        <w:rPr>
          <w:b w:val="false"/>
          <w:bCs w:val="false"/>
          <w:i w:val="false"/>
          <w:iCs w:val="false"/>
          <w:sz w:val="22"/>
          <w:szCs w:val="22"/>
        </w:rPr>
        <w:t xml:space="preserve">Same structure, same point values, same time budget. Five of the twenty objective items are new, along with Question 1 of Part II—six of twenty-two, or 27 percent.</w:t>
      </w:r>
    </w:p>
    <w:p>
      <w:pPr>
        <w:spacing w:after="50" w:before="0" w:line="360" w:lineRule="auto"/>
      </w:pPr>
      <w:r>
        <w:rPr>
          <w:b w:val="false"/>
          <w:bCs w:val="false"/>
          <w:i w:val="false"/>
          <w:iCs w:val="false"/>
          <w:sz w:val="22"/>
          <w:szCs w:val="22"/>
        </w:rPr>
        <w:t xml:space="preserve">New here: Q2 (the MID data caveat) replaces the Declaration of Independence item; Q4 (Texas admitted by joint resolution) replaces the Louisiana Purchase; Q8 (the 1898 debate, with the same arguments on both sides) replaces Turner; Q11 (the Marshall Plan) replaces the atomic decision; Q14 (why Europeans accepted American leadership) replaces Norris. Part II Question 1 now asks about the atomic decision rather than the Farewell Address.</w:t>
      </w:r>
    </w:p>
    <w:p>
      <w:pPr>
        <w:spacing w:after="50" w:before="0" w:line="360" w:lineRule="auto"/>
      </w:pPr>
      <w:r>
        <w:rPr>
          <w:b w:val="false"/>
          <w:bCs w:val="false"/>
          <w:i/>
          <w:iCs/>
          <w:sz w:val="22"/>
          <w:szCs w:val="22"/>
        </w:rPr>
        <w:t xml:space="preserve">The twelve carried-over items are identical in wording but their correct answers sit in different positions, so an answer string copied from the original exam is worthless here. Part II Question 2 is unchanged: it is broad enough that two students will not produce the same paragraph, but if you would rather not repeat it, say so and it can be swapped as well.</w:t>
      </w:r>
    </w:p>
    <w:p>
      <w:pPr>
        <w:spacing w:after="160" w:before="0" w:line="360" w:lineRule="auto"/>
      </w:pPr>
      <w:r>
        <w:rPr>
          <w:b w:val="false"/>
          <w:bCs w:val="false"/>
          <w:i/>
          <w:iCs/>
          <w:sz w:val="22"/>
          <w:szCs w:val="22"/>
        </w:rPr>
        <w:t xml:space="preserve">One asymmetry worth knowing: this version tests seven of the assigned readings against the original’s eleven, because three of the replaced items were reading-based and the new ones are drawn from lecture. Difficulty is comparable—arguably slightly easier, since lecture material is treated at greater length in the study guide—but a student who prepared only the readings will find this version harder to bluff.</w:t>
      </w:r>
    </w:p>
    <w:p>
      <w:pPr>
        <w:pStyle w:val="Heading2"/>
      </w:pPr>
      <w:r>
        <w:t xml:space="preserve">Basic recall items</w:t>
      </w:r>
    </w:p>
    <w:p>
      <w:pPr>
        <w:spacing w:after="50" w:before="0" w:line="360" w:lineRule="auto"/>
      </w:pPr>
      <w:r>
        <w:rPr>
          <w:b w:val="false"/>
          <w:bCs w:val="false"/>
          <w:i w:val="false"/>
          <w:iCs w:val="false"/>
          <w:sz w:val="22"/>
          <w:szCs w:val="22"/>
        </w:rPr>
        <w:t xml:space="preserve">7 of 20 objective items, 35 percent: Q1 (mercantilism), Q4 (Texas annexation), Q9 (1898 acquisitions), Q12 (Kennan and Nitze), Q13 (deterrence), TF 18 (Truman Doctrine and the Marshall address), TF 19 (Manifest Destiny).</w:t>
      </w:r>
    </w:p>
    <w:p>
      <w:pPr>
        <w:spacing w:after="50" w:before="0" w:line="360" w:lineRule="auto"/>
      </w:pPr>
      <w:r>
        <w:rPr>
          <w:b w:val="false"/>
          <w:bCs w:val="false"/>
          <w:i/>
          <w:iCs/>
          <w:sz w:val="22"/>
          <w:szCs w:val="22"/>
        </w:rPr>
        <w:t xml:space="preserve">These come from the “definitions to know cold” table, the timeline, and the people list. They set the floor and buy time for Part II.</w:t>
      </w:r>
    </w:p>
    <w:p>
      <w:pPr>
        <w:pStyle w:val="Heading2"/>
      </w:pPr>
      <w:r>
        <w:t xml:space="preserve">By lecture unit</w:t>
      </w:r>
    </w:p>
    <w:p>
      <w:pPr>
        <w:spacing w:after="50" w:before="0" w:line="360" w:lineRule="auto"/>
      </w:pPr>
      <w:r>
        <w:rPr>
          <w:b w:val="false"/>
          <w:bCs w:val="false"/>
          <w:i w:val="false"/>
          <w:iCs w:val="false"/>
          <w:sz w:val="22"/>
          <w:szCs w:val="22"/>
        </w:rPr>
        <w:t xml:space="preserve">Early Years, 1783–1870: Q1–Q7; TF 19.</w:t>
      </w:r>
    </w:p>
    <w:p>
      <w:pPr>
        <w:spacing w:after="50" w:before="0" w:line="360" w:lineRule="auto"/>
      </w:pPr>
      <w:r>
        <w:rPr>
          <w:b w:val="false"/>
          <w:bCs w:val="false"/>
          <w:i w:val="false"/>
          <w:iCs w:val="false"/>
          <w:sz w:val="22"/>
          <w:szCs w:val="22"/>
        </w:rPr>
        <w:t xml:space="preserve">Transitional Period, 1870–1945: Q8–Q10; TF 20.</w:t>
      </w:r>
    </w:p>
    <w:p>
      <w:pPr>
        <w:spacing w:after="50" w:before="0" w:line="360" w:lineRule="auto"/>
      </w:pPr>
      <w:r>
        <w:rPr>
          <w:b w:val="false"/>
          <w:bCs w:val="false"/>
          <w:i w:val="false"/>
          <w:iCs w:val="false"/>
          <w:sz w:val="22"/>
          <w:szCs w:val="22"/>
        </w:rPr>
        <w:t xml:space="preserve">From world war to Cold War: Q11–Q14; TF 18; SA1.</w:t>
      </w:r>
    </w:p>
    <w:p>
      <w:pPr>
        <w:spacing w:after="50" w:before="0" w:line="360" w:lineRule="auto"/>
      </w:pPr>
      <w:r>
        <w:rPr>
          <w:b w:val="false"/>
          <w:bCs w:val="false"/>
          <w:i w:val="false"/>
          <w:iCs w:val="false"/>
          <w:sz w:val="22"/>
          <w:szCs w:val="22"/>
        </w:rPr>
        <w:t xml:space="preserve">The Cold War and domestic politics: Q15–Q17; SA2.</w:t>
      </w:r>
    </w:p>
    <w:p>
      <w:pPr>
        <w:pStyle w:val="Heading2"/>
      </w:pPr>
      <w:r>
        <w:t xml:space="preserve">By assigned reading</w:t>
      </w:r>
    </w:p>
    <w:p>
      <w:pPr>
        <w:spacing w:after="50" w:before="0" w:line="360" w:lineRule="auto"/>
      </w:pPr>
      <w:r>
        <w:rPr>
          <w:b w:val="false"/>
          <w:bCs w:val="false"/>
          <w:i w:val="false"/>
          <w:iCs w:val="false"/>
          <w:sz w:val="22"/>
          <w:szCs w:val="22"/>
        </w:rPr>
        <w:t xml:space="preserve">Brutus X—Q3. J.Q. Adams, 1821—Q5. Fourteen Points—Q10. Kennan and NSC-68—Q12. Schelling on credibility—Q13. Fordham—Q15. Dudziak—Q17. Hiscox—available to SA2.</w:t>
      </w:r>
    </w:p>
    <w:p>
      <w:pPr>
        <w:spacing w:after="50" w:before="0" w:line="360" w:lineRule="auto"/>
      </w:pPr>
      <w:r>
        <w:rPr>
          <w:b w:val="false"/>
          <w:bCs w:val="false"/>
          <w:i/>
          <w:iCs/>
          <w:sz w:val="22"/>
          <w:szCs w:val="22"/>
        </w:rPr>
        <w:t xml:space="preserve">Not tested on this version: the Declaration of Independence, Turner, Norris, and Washington’s Farewell Address. All four appear on the original.</w:t>
      </w:r>
    </w:p>
    <w:p>
      <w:pPr>
        <w:pStyle w:val="Heading2"/>
      </w:pPr>
      <w:r>
        <w:t xml:space="preserve">Pitfalls deliberately baited</w:t>
      </w:r>
    </w:p>
    <w:p>
      <w:pPr>
        <w:spacing w:after="40" w:before="0" w:line="360" w:lineRule="auto"/>
      </w:pPr>
      <w:r>
        <w:rPr>
          <w:b w:val="false"/>
          <w:bCs w:val="false"/>
          <w:i w:val="false"/>
          <w:iCs w:val="false"/>
          <w:sz w:val="22"/>
          <w:szCs w:val="22"/>
        </w:rPr>
        <w:t xml:space="preserve">“Isolationism” as a period description—Q5.</w:t>
      </w:r>
    </w:p>
    <w:p>
      <w:pPr>
        <w:spacing w:after="40" w:before="0" w:line="360" w:lineRule="auto"/>
      </w:pPr>
      <w:r>
        <w:rPr>
          <w:b w:val="false"/>
          <w:bCs w:val="false"/>
          <w:i w:val="false"/>
          <w:iCs w:val="false"/>
          <w:sz w:val="22"/>
          <w:szCs w:val="22"/>
        </w:rPr>
        <w:t xml:space="preserve">Standing armies and permanent alliances as American tradition—Q3.</w:t>
      </w:r>
    </w:p>
    <w:p>
      <w:pPr>
        <w:spacing w:after="40" w:before="0" w:line="360" w:lineRule="auto"/>
      </w:pPr>
      <w:r>
        <w:rPr>
          <w:b w:val="false"/>
          <w:bCs w:val="false"/>
          <w:i w:val="false"/>
          <w:iCs w:val="false"/>
          <w:sz w:val="22"/>
          <w:szCs w:val="22"/>
        </w:rPr>
        <w:t xml:space="preserve">Interventionism as a Cold War invention—Q2, where the MID undercount is the evidence.</w:t>
      </w:r>
    </w:p>
    <w:p>
      <w:pPr>
        <w:spacing w:after="40" w:before="0" w:line="360" w:lineRule="auto"/>
      </w:pPr>
      <w:r>
        <w:rPr>
          <w:b w:val="false"/>
          <w:bCs w:val="false"/>
          <w:i w:val="false"/>
          <w:iCs w:val="false"/>
          <w:sz w:val="22"/>
          <w:szCs w:val="22"/>
        </w:rPr>
        <w:t xml:space="preserve">Slavery as separable from the foreign policy story—Q4, Q17, SA2.</w:t>
      </w:r>
    </w:p>
    <w:p>
      <w:pPr>
        <w:spacing w:after="40" w:before="0" w:line="360" w:lineRule="auto"/>
      </w:pPr>
      <w:r>
        <w:rPr>
          <w:b w:val="false"/>
          <w:bCs w:val="false"/>
          <w:i w:val="false"/>
          <w:iCs w:val="false"/>
          <w:sz w:val="22"/>
          <w:szCs w:val="22"/>
        </w:rPr>
        <w:t xml:space="preserve">Treating tariff policy as regionally neutral—Q7.</w:t>
      </w:r>
    </w:p>
    <w:p>
      <w:pPr>
        <w:spacing w:after="40" w:before="0" w:line="360" w:lineRule="auto"/>
      </w:pPr>
      <w:r>
        <w:rPr>
          <w:b w:val="false"/>
          <w:bCs w:val="false"/>
          <w:i w:val="false"/>
          <w:iCs w:val="false"/>
          <w:sz w:val="22"/>
          <w:szCs w:val="22"/>
        </w:rPr>
        <w:t xml:space="preserve">The claim that World War II ended the Great Depression—TF 20.</w:t>
      </w:r>
    </w:p>
    <w:p>
      <w:pPr>
        <w:spacing w:after="40" w:before="0" w:line="360" w:lineRule="auto"/>
      </w:pPr>
      <w:r>
        <w:rPr>
          <w:b w:val="false"/>
          <w:bCs w:val="false"/>
          <w:i w:val="false"/>
          <w:iCs w:val="false"/>
          <w:sz w:val="22"/>
          <w:szCs w:val="22"/>
        </w:rPr>
        <w:t xml:space="preserve">Fixed party ideology—Q15, SA2.</w:t>
      </w:r>
    </w:p>
    <w:p>
      <w:pPr>
        <w:spacing w:after="40" w:before="0" w:line="360" w:lineRule="auto"/>
      </w:pPr>
      <w:r>
        <w:rPr>
          <w:b w:val="false"/>
          <w:bCs w:val="false"/>
          <w:i w:val="false"/>
          <w:iCs w:val="false"/>
          <w:sz w:val="22"/>
          <w:szCs w:val="22"/>
        </w:rPr>
        <w:t xml:space="preserve">Conflating the Truman Doctrine with the Marshall Plan—TF 18, and Q11 from the other direction.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POLSC 343 Exam 1, makeup—Key—page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pPr>
      <w:spacing w:after="100" w:before="220" w:line="360" w:lineRule="auto"/>
    </w:pPr>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2026-09-25T17:28:54.972Z</dcterms:created>
  <dcterms:modified xsi:type="dcterms:W3CDTF">2026-09-25T17:28:54.972Z</dcterms:modified>
</cp:coreProperties>
</file>

<file path=docProps/custom.xml><?xml version="1.0" encoding="utf-8"?>
<Properties xmlns="http://schemas.openxmlformats.org/officeDocument/2006/custom-properties" xmlns:vt="http://schemas.openxmlformats.org/officeDocument/2006/docPropsVTypes"/>
</file>