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POLSC 343: American Foreign Policy</w:t>
      </w:r>
    </w:p>
    <w:p>
      <w:pPr>
        <w:spacing w:after="40" w:line="360" w:lineRule="auto"/>
        <w:jc w:val="center"/>
      </w:pPr>
      <w:r>
        <w:rPr>
          <w:sz w:val="26"/>
          <w:szCs w:val="26"/>
        </w:rPr>
        <w:t xml:space="preserve">Exam 1—Study Guide Reconciliation</w:t>
      </w:r>
    </w:p>
    <w:p>
      <w:pPr>
        <w:spacing w:after="240" w:line="360" w:lineRule="auto"/>
        <w:jc w:val="center"/>
      </w:pPr>
      <w:r>
        <w:rPr>
          <w:i/>
          <w:iCs/>
          <w:sz w:val="19"/>
          <w:szCs w:val="19"/>
        </w:rPr>
        <w:t xml:space="preserve">Instructor copy. Section numbers refer to POLSC343-Exam1-Study-Guide; “Review sheet” refers to POLSC343-Exam1-Review-Sheet.</w:t>
      </w:r>
    </w:p>
    <w:p>
      <w:pPr>
        <w:pStyle w:val="Heading1"/>
      </w:pPr>
      <w:r>
        <w:t xml:space="preserve">Result</w:t>
      </w:r>
    </w:p>
    <w:p>
      <w:pPr>
        <w:spacing w:after="120" w:before="0" w:line="360" w:lineRule="auto"/>
      </w:pPr>
      <w:r>
        <w:rPr>
          <w:b w:val="false"/>
          <w:bCs w:val="false"/>
          <w:i w:val="false"/>
          <w:iCs w:val="false"/>
          <w:sz w:val="22"/>
          <w:szCs w:val="22"/>
        </w:rPr>
        <w:t xml:space="preserve">All 22 exam items—17 multiple choice, 3 true/false, 2 short answer—are covered by the distributed study guide, the review sheet, or both. No exam item depends on material absent from those documents.</w:t>
      </w:r>
    </w:p>
    <w:p>
      <w:pPr>
        <w:spacing w:after="120" w:before="0" w:line="360" w:lineRule="auto"/>
      </w:pPr>
      <w:r>
        <w:rPr>
          <w:b w:val="false"/>
          <w:bCs w:val="false"/>
          <w:i w:val="false"/>
          <w:iCs w:val="false"/>
          <w:sz w:val="22"/>
          <w:szCs w:val="22"/>
        </w:rPr>
        <w:t xml:space="preserve">This version replaced the three items flagged as unfair asks: the NSC-68 against X Article comparison, Ikenberry on self-constraint, and the Tito and Sino-Soviet monolith question. Their replacements are Q6 (the Monroe Doctrine enforcement problem), Q7 (why tariffs were explosive) and Q16 (the geography of defense spending), all three drawn from lecture sections the guide treats at length.</w:t>
      </w:r>
    </w:p>
    <w:p>
      <w:pPr>
        <w:spacing w:after="160" w:before="0" w:line="360" w:lineRule="auto"/>
      </w:pPr>
      <w:r>
        <w:rPr>
          <w:b w:val="false"/>
          <w:bCs w:val="false"/>
          <w:i/>
          <w:iCs/>
          <w:sz w:val="22"/>
          <w:szCs w:val="22"/>
        </w:rPr>
        <w:t xml:space="preserve">Checked against the exam as edited by hand on 24 September. Those edits changed wording in Q3, Q5, Q7, Q14 and Q16, the Part II instructions, and the Question 1 prompt. Only two of them move the coverage question: Q7, where the new wording is better supported by the guide than the old, and Q14, which is discussed below.</w:t>
      </w:r>
    </w:p>
    <w:p>
      <w:pPr>
        <w:spacing w:after="200" w:before="0" w:line="360" w:lineRule="auto"/>
      </w:pPr>
      <w:r>
        <w:rPr>
          <w:b w:val="false"/>
          <w:bCs w:val="false"/>
          <w:i/>
          <w:iCs/>
          <w:sz w:val="22"/>
          <w:szCs w:val="22"/>
        </w:rPr>
        <w:t xml:space="preserve">Two items rest on inference rather than a sentence a student can quote. Both are flagged below and neither is a gap, but they are the two a student is most likely to contest.</w:t>
      </w:r>
    </w:p>
    <w:p>
      <w:pPr>
        <w:pStyle w:val="Heading1"/>
      </w:pPr>
      <w:r>
        <w:t xml:space="preserve">Item-by-item</w:t>
      </w:r>
    </w:p>
    <w:tbl>
      <w:tblPr>
        <w:tblW w:type="dxa" w:w="10080"/>
        <w:tblBorders>
          <w:top w:val="single" w:color="BFBFBF" w:sz="4"/>
          <w:left w:val="single" w:color="BFBFBF" w:sz="4"/>
          <w:bottom w:val="single" w:color="BFBFBF" w:sz="4"/>
          <w:right w:val="single" w:color="BFBFBF" w:sz="4"/>
          <w:insideH w:val="single" w:color="D9D9D9" w:sz="4"/>
          <w:insideV w:val="single" w:color="D9D9D9" w:sz="4"/>
        </w:tblBorders>
      </w:tblPr>
      <w:tblGrid>
        <w:gridCol w:w="1180"/>
        <w:gridCol w:w="4550"/>
        <w:gridCol w:w="4350"/>
      </w:tblGrid>
      <w:tr>
        <w:trPr>
          <w:tblHeader/>
        </w:trPr>
        <w:tc>
          <w:tcPr>
            <w:tcW w:type="dxa" w:w="1180"/>
            <w:shd w:fill="EFEFEF" w:val="clear"/>
            <w:tcMar>
              <w:top w:type="dxa" w:w="60"/>
              <w:left w:type="dxa" w:w="110"/>
              <w:bottom w:type="dxa" w:w="60"/>
              <w:right w:type="dxa" w:w="110"/>
            </w:tcMar>
          </w:tcPr>
          <w:p>
            <w:pPr>
              <w:spacing w:after="0" w:line="280" w:lineRule="auto"/>
            </w:pPr>
            <w:r>
              <w:rPr>
                <w:b/>
                <w:bCs/>
                <w:sz w:val="20"/>
                <w:szCs w:val="20"/>
              </w:rPr>
              <w:t xml:space="preserve">Item</w:t>
            </w:r>
          </w:p>
        </w:tc>
        <w:tc>
          <w:tcPr>
            <w:tcW w:type="dxa" w:w="4550"/>
            <w:shd w:fill="EFEFEF" w:val="clear"/>
            <w:tcMar>
              <w:top w:type="dxa" w:w="60"/>
              <w:left w:type="dxa" w:w="110"/>
              <w:bottom w:type="dxa" w:w="60"/>
              <w:right w:type="dxa" w:w="110"/>
            </w:tcMar>
          </w:tcPr>
          <w:p>
            <w:pPr>
              <w:spacing w:after="0" w:line="280" w:lineRule="auto"/>
            </w:pPr>
            <w:r>
              <w:rPr>
                <w:b/>
                <w:bCs/>
                <w:sz w:val="20"/>
                <w:szCs w:val="20"/>
              </w:rPr>
              <w:t xml:space="preserve">What it tests</w:t>
            </w:r>
          </w:p>
        </w:tc>
        <w:tc>
          <w:tcPr>
            <w:tcW w:type="dxa" w:w="4350"/>
            <w:shd w:fill="EFEFEF" w:val="clear"/>
            <w:tcMar>
              <w:top w:type="dxa" w:w="60"/>
              <w:left w:type="dxa" w:w="110"/>
              <w:bottom w:type="dxa" w:w="60"/>
              <w:right w:type="dxa" w:w="110"/>
            </w:tcMar>
          </w:tcPr>
          <w:p>
            <w:pPr>
              <w:spacing w:after="0" w:line="280" w:lineRule="auto"/>
            </w:pPr>
            <w:r>
              <w:rPr>
                <w:b/>
                <w:bCs/>
                <w:sz w:val="20"/>
                <w:szCs w:val="20"/>
              </w:rPr>
              <w:t xml:space="preserve">Where the study guide covers it</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1</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Mercantilism, defined</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§2.2 (definition quoted from Frieden, Lake and Schultz); Glossary §8. Review sheet §2, “definitions to know cold.”</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2</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Declaration of Independence as a foreign policy document</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§7.1: grievances named as trade restrictions, quartering of troops, foreign mercenaries, plus the universal rights language. Review sheet §7 poses the same question.</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3</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Brutus X on standing armies, read against post-1945</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§7.1; also §1 (“The Army in the nineteenth century”) and §2.3. Review sheet §7.</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4</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Louisiana Purchase: 1803, $15 million, driven by Napoleon’s need to finance his European wars</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§2.4, which states the purchase “arose from Napoleon’s need to finance his European wars”; Timeline §9. Review sheet §3.</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5</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J.Q. Adams 1821: “monsters to destroy” and the altered-maxims warning</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§7.1, including the well-wisher/champion distinction and the warning. Review sheet §7.</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6</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Monroe Doctrine 1823: the enforcement problem</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§2.5: “not initially something the US could enforce”; the US lacked the navy for another century and relied on the British navy. Review sheet §3, “content, and the enforcement problem.”</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7</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Why tariffs were explosive: revenue, and uneven regional burden</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§2.7: the tariff as the federal revenue source, no income tax for another century, and “tariffs affect different regions and sectors differently,” with the split running along North/South lines. Review sheet §3, “revenue tariffs vs. protective tariffs—and why the line is blurry.”</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8</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Turner 1893: why the timing matters</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§3.1 (the closed frontier and whether colonies fill the gap); §7.1. Review sheet §4.</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9</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1898 acquisitions, and Hawaii annexed separately</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§3.2: Philippines, Guam, Puerto Rico, Cuba qualified via Guantanamo; Hawaii annexed July 1898; Tutuila/American Samoa as an indirect consequence.</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10</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Which Fourteen Points survive into the post-1945 order</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§7.1 lists the points and says the blueprint recurs “in modified form” after 1945; the three pillars in §5.2 supply Bretton Woods, the UN, and the colonial-territory question. Review sheet §7 asks exactly this.</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11</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The atomic decision was not only about Japan</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§4.1: Truman informed only on taking office; the Soviet motive; Stimson opposed a demonstration and removed Kyoto.</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12</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Who wrote what: Kennan and Nitze</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§4.3 table (Truman, Marshall, Kennan, Nitze and their documents). Review sheet §5, “Major Policy Points.”</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13</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Deterrence, defined, and why credibility is essential</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§5.2; Glossary §8. Distractors draw on compellence, burden sharing and the security dilemma; the latter two are also in §8.</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14</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Norris: what “uneasy” carries</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§7.2 covers the first half of the keyed answer—aid between humanitarian purpose and strategic instrument. The second half, the misalignment of American and recipient aims, is NOT stated in the guide. See the note below.</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15</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Fordham: the finding and its mechanism</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§7.4, plus the geography of defense spending in §6.3. Review sheet §6 and §7.</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16</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Geography of defense spending: diffuse dollars, concentrated personnel</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§6.3: spending “spread across a very large number of congressional districts” while personnel are “far more geographically concentrated,” with the Riley County example. Review sheet §6.</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17</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Dudziak: the international mechanism</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§7.3, including the Justice Department’s amicus filings. Review sheet §7.</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TF 18</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Manifest Destiny attributed to O’Sullivan, 1845</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§2.9; Glossary §8; People to Know; Timeline §9.</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TF 19</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Truman Doctrine (March 1947, to Congress) against Marshall’s Harvard address (June 1947)</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§4.3 states both dates and venues; Timeline §9 lists them separately.</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TF 20</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World War II did not end the Depression</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§3.7: recovery underway before the war, the 1936–1938 cuts, “inaccurate and dangerous.” Common Pitfalls §11.</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SA 1</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Why “isolationism” misreads the Farewell Address, and how it compares with nineteenth- and twentieth-century practice</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§2.3 (“‘isolation’ is a bad term here”); §7.1; Practice Questions §10.2, item 1. For the comparison: §1 (no alliances until the twentieth century), §2.3 (the Address invoked later against the League and NATO), §5.3 (the ten changes after 1945, beginning with the first long-term alliances in US history). Pitfalls §11.</w:t>
            </w:r>
          </w:p>
        </w:tc>
      </w:tr>
      <w:tr>
        <w:trPr>
          <w:cantSplit/>
        </w:trPr>
        <w:tc>
          <w:tcPr>
            <w:tcW w:type="dxa" w:w="1180"/>
            <w:tcMar>
              <w:top w:type="dxa" w:w="60"/>
              <w:left w:type="dxa" w:w="110"/>
              <w:bottom w:type="dxa" w:w="60"/>
              <w:right w:type="dxa" w:w="110"/>
            </w:tcMar>
          </w:tcPr>
          <w:p>
            <w:pPr>
              <w:spacing w:after="0" w:line="280" w:lineRule="auto"/>
            </w:pPr>
            <w:r>
              <w:rPr>
                <w:b/>
                <w:bCs/>
                <w:sz w:val="20"/>
                <w:szCs w:val="20"/>
              </w:rPr>
              <w:t xml:space="preserve">SA 2</w:t>
            </w:r>
          </w:p>
        </w:tc>
        <w:tc>
          <w:tcPr>
            <w:tcW w:type="dxa" w:w="4550"/>
            <w:tcMar>
              <w:top w:type="dxa" w:w="60"/>
              <w:left w:type="dxa" w:w="110"/>
              <w:bottom w:type="dxa" w:w="60"/>
              <w:right w:type="dxa" w:w="110"/>
            </w:tcMar>
          </w:tcPr>
          <w:p>
            <w:pPr>
              <w:spacing w:after="0" w:line="280" w:lineRule="auto"/>
            </w:pPr>
            <w:r>
              <w:rPr>
                <w:b w:val="false"/>
                <w:bCs w:val="false"/>
                <w:sz w:val="20"/>
                <w:szCs w:val="20"/>
              </w:rPr>
              <w:t xml:space="preserve">Domestic politics shaping foreign policy, two periods, with a generalization</w:t>
            </w:r>
          </w:p>
        </w:tc>
        <w:tc>
          <w:tcPr>
            <w:tcW w:type="dxa" w:w="4350"/>
            <w:tcMar>
              <w:top w:type="dxa" w:w="60"/>
              <w:left w:type="dxa" w:w="110"/>
              <w:bottom w:type="dxa" w:w="60"/>
              <w:right w:type="dxa" w:w="110"/>
            </w:tcMar>
          </w:tcPr>
          <w:p>
            <w:pPr>
              <w:spacing w:after="0" w:line="280" w:lineRule="auto"/>
            </w:pPr>
            <w:r>
              <w:rPr>
                <w:b w:val="false"/>
                <w:bCs w:val="false"/>
                <w:sz w:val="20"/>
                <w:szCs w:val="20"/>
              </w:rPr>
              <w:t xml:space="preserve">§6 entire, plus §2.7 (tariffs), §2.6 (slavery), §3.2 (ship design), §3.5 (Lodge). Review sheet §10, “Themes to Trace,” lists “domestic issues that are foreign policy issues” and “coalitions follow economic position.”</w:t>
            </w:r>
          </w:p>
        </w:tc>
      </w:tr>
    </w:tbl>
    <w:p>
      <w:pPr>
        <w:pStyle w:val="Heading1"/>
      </w:pPr>
      <w:r>
        <w:t xml:space="preserve">The two soft spots</w:t>
      </w:r>
    </w:p>
    <w:p>
      <w:pPr>
        <w:pStyle w:val="Heading2"/>
      </w:pPr>
      <w:r>
        <w:t xml:space="preserve">Q10, the Fourteen Points</w:t>
      </w:r>
    </w:p>
    <w:p>
      <w:pPr>
        <w:spacing w:after="120" w:before="0" w:line="360" w:lineRule="auto"/>
      </w:pPr>
      <w:r>
        <w:rPr>
          <w:b w:val="false"/>
          <w:bCs w:val="false"/>
          <w:i w:val="false"/>
          <w:iCs w:val="false"/>
          <w:sz w:val="22"/>
          <w:szCs w:val="22"/>
        </w:rPr>
        <w:t xml:space="preserve">The guide lists the Fourteen Points and says the blueprint reappears “in modified form” in the post-1945 order, but it never maps particular points onto particular institutions. A student has to combine §7.1 with the three pillars in §5.2 to get there. The review sheet does pose the question directly—“Which points survive into the post-1945 order?”—so a student who worked it has been pointed at the inference. Appropriate for an upper-division exam, and the correct answer is the only one naming institutions the guide actually attributes to the postwar order.</w:t>
      </w:r>
    </w:p>
    <w:p>
      <w:pPr>
        <w:spacing w:after="160" w:before="0" w:line="360" w:lineRule="auto"/>
      </w:pPr>
      <w:r>
        <w:rPr>
          <w:b w:val="false"/>
          <w:bCs w:val="false"/>
          <w:i/>
          <w:iCs/>
          <w:sz w:val="22"/>
          <w:szCs w:val="22"/>
        </w:rPr>
        <w:t xml:space="preserve">Optional one-line fix to §7.1, if you would rather close it: “Removal of economic barriers becomes Bretton Woods; a general association of nations becomes the UN; self-determination becomes the trusteeship and decolonization question.”</w:t>
      </w:r>
    </w:p>
    <w:p>
      <w:pPr>
        <w:pStyle w:val="Heading2"/>
      </w:pPr>
      <w:r>
        <w:t xml:space="preserve">Q12 and TF 19, the Cold War documents</w:t>
      </w:r>
    </w:p>
    <w:p>
      <w:pPr>
        <w:spacing w:after="160" w:before="0" w:line="360" w:lineRule="auto"/>
      </w:pPr>
      <w:r>
        <w:rPr>
          <w:b w:val="false"/>
          <w:bCs w:val="false"/>
          <w:i w:val="false"/>
          <w:iCs w:val="false"/>
          <w:sz w:val="22"/>
          <w:szCs w:val="22"/>
        </w:rPr>
        <w:t xml:space="preserve">Kennan’s X Article, NSC-68 and the text of the Truman Doctrine appear in §7.5 as recommended rather than required readings. The two surviving items that touch them test only what the required lecture material states: the §4.3 table gives each author and document, and §4.3 states both the March 1947 speech to Congress and the June 1947 Harvard address with their dates. Q12 asks only who wrote what. No student needs to have read the documents themselves to answer. If a student objects that NSC-68 was only recommended, §4.3 is the answer.</w:t>
      </w:r>
    </w:p>
    <w:p>
      <w:pPr>
        <w:pStyle w:val="Heading2"/>
      </w:pPr>
      <w:r>
        <w:t xml:space="preserve">Q14, Norris, and the edit of 24 September</w:t>
      </w:r>
    </w:p>
    <w:p>
      <w:pPr>
        <w:spacing w:after="120" w:before="0" w:line="360" w:lineRule="auto"/>
      </w:pPr>
      <w:r>
        <w:rPr>
          <w:b w:val="false"/>
          <w:bCs w:val="false"/>
          <w:i w:val="false"/>
          <w:iCs w:val="false"/>
          <w:sz w:val="22"/>
          <w:szCs w:val="22"/>
        </w:rPr>
        <w:t xml:space="preserve">This is the one place where the exam now asks slightly more than the guide supplies. The keyed answer reads that aid “sits structurally between humanitarian purpose and strategic instrument, and American goals and interests were often misaligned with local goals and interests.” The guide’s §7.2 states the first clause plainly. It does not state the second: nothing in §7.2, or in §5.4 on why other countries accepted or resisted American leadership, says that American and recipient aims diverged.</w:t>
      </w:r>
    </w:p>
    <w:p>
      <w:pPr>
        <w:spacing w:after="160" w:before="0" w:line="360" w:lineRule="auto"/>
      </w:pPr>
      <w:r>
        <w:rPr>
          <w:b w:val="false"/>
          <w:bCs w:val="false"/>
          <w:i/>
          <w:iCs/>
          <w:sz w:val="22"/>
          <w:szCs w:val="22"/>
        </w:rPr>
        <w:t xml:space="preserve">Three things make this survivable. The clause is an addition to an answer whose first half is squarely in the guide; no distractor becomes more attractive because of it, since (a) remains the trap for students who think the strategic use came later; and a student who knows §7.2 will still select it. If the misalignment point was made in lecture or in the Week 4 discussion, the item is clean. If it was not, the fair reading is that the clause is surplus rather than the thing being tested—and a student who challenges the item on that ground has a point worth a sentence of acknowledgment rather than a changed key.</w:t>
      </w:r>
    </w:p>
    <w:p>
      <w:pPr>
        <w:pStyle w:val="Heading1"/>
      </w:pPr>
      <w:r>
        <w:t xml:space="preserve">The reverse check</w:t>
      </w:r>
    </w:p>
    <w:p>
      <w:pPr>
        <w:spacing w:after="120" w:before="0" w:line="360" w:lineRule="auto"/>
      </w:pPr>
      <w:r>
        <w:rPr>
          <w:b w:val="false"/>
          <w:bCs w:val="false"/>
          <w:i w:val="false"/>
          <w:iCs w:val="false"/>
          <w:sz w:val="22"/>
          <w:szCs w:val="22"/>
        </w:rPr>
        <w:t xml:space="preserve">Substantial study guide material the exam does not test: the periodization framework, the MID data caveat, the Creole case, the Aroostook War, the Mexican–American War, the Civil War’s international dimension, the Roosevelt Corollary and Dollar Diplomacy, the naval conferences, the road to war in the 1930s, the Neutrality Acts sequence, the Percentages Agreement, the events that hardened the divide, Kennan against Nitze on the means of containment, Ikenberry on self-constraint, the unipolar moment, the Gulf War, Chinese WTO accession, and September 11.</w:t>
      </w:r>
    </w:p>
    <w:p>
      <w:pPr>
        <w:spacing w:after="120" w:before="0" w:line="360" w:lineRule="auto"/>
      </w:pPr>
      <w:r>
        <w:rPr>
          <w:b w:val="false"/>
          <w:bCs w:val="false"/>
          <w:i/>
          <w:iCs/>
          <w:sz w:val="22"/>
          <w:szCs w:val="22"/>
        </w:rPr>
        <w:t xml:space="preserve">That is expected on a 50-minute exam and is not a defect. It does mean students cannot infer the exam’s scope from the guide, so the guide remains the right basis for review and the exam samples from it. Several of these are the obvious swaps if you want to rotate items for a future section.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sz w:val="18"/>
        <w:szCs w:val="18"/>
      </w:rPr>
      <w:t xml:space="preserve">Exam 1 reconciliation—page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360" w:lineRule="auto"/>
      </w:pPr>
    </w:pPrDefault>
  </w:docDefaults>
  <w:style w:type="paragraph" w:styleId="Title">
    <w:name w:val="Title"/>
    <w:basedOn w:val="Normal"/>
    <w:next w:val="Normal"/>
    <w:qFormat/>
    <w:pPr>
      <w:spacing w:after="80" w:line="360" w:lineRule="auto"/>
      <w:jc w:val="center"/>
    </w:pPr>
    <w:rPr>
      <w:rFonts w:ascii="Arial" w:cs="Arial" w:eastAsia="Arial" w:hAnsi="Arial"/>
      <w:b/>
      <w:bCs/>
      <w:color w:val="000000"/>
      <w:sz w:val="32"/>
      <w:szCs w:val="32"/>
    </w:rPr>
  </w:style>
  <w:style w:type="paragraph" w:styleId="Heading1">
    <w:name w:val="Heading 1"/>
    <w:basedOn w:val="Normal"/>
    <w:next w:val="Normal"/>
    <w:qFormat/>
    <w:pPr>
      <w:spacing w:after="180" w:before="360" w:line="360" w:lineRule="auto"/>
    </w:pPr>
    <w:rPr>
      <w:rFonts w:ascii="Arial" w:cs="Arial" w:eastAsia="Arial" w:hAnsi="Arial"/>
      <w:b/>
      <w:bCs/>
      <w:color w:val="000000"/>
      <w:sz w:val="30"/>
      <w:szCs w:val="30"/>
    </w:rPr>
  </w:style>
  <w:style w:type="paragraph" w:styleId="Heading2">
    <w:name w:val="Heading 2"/>
    <w:basedOn w:val="Normal"/>
    <w:next w:val="Normal"/>
    <w:qFormat/>
    <w:pPr>
      <w:spacing w:after="140" w:before="280" w:line="360" w:lineRule="auto"/>
    </w:pPr>
    <w:rPr>
      <w:rFonts w:ascii="Arial" w:cs="Arial" w:eastAsia="Arial" w:hAnsi="Arial"/>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2026-09-24T21:00:44.597Z</dcterms:created>
  <dcterms:modified xsi:type="dcterms:W3CDTF">2026-09-24T21:00:44.598Z</dcterms:modified>
</cp:coreProperties>
</file>

<file path=docProps/custom.xml><?xml version="1.0" encoding="utf-8"?>
<Properties xmlns="http://schemas.openxmlformats.org/officeDocument/2006/custom-properties" xmlns:vt="http://schemas.openxmlformats.org/officeDocument/2006/docPropsVTypes"/>
</file>