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v2: Интеграция базы брокеров в кабинет</w:t>
      </w:r>
    </w:p>
    <w:p>
      <w:r>
        <w:rPr>
          <w:b w:val="0"/>
          <w:i/>
        </w:rPr>
        <w:t>Дата: 2026-05-15</w:t>
      </w:r>
    </w:p>
    <w:p>
      <w:r>
        <w:rPr>
          <w:b w:val="0"/>
          <w:i/>
        </w:rPr>
        <w:t>Статус: Черновик на ревью</w:t>
      </w:r>
    </w:p>
    <w:p>
      <w:r>
        <w:rPr>
          <w:b w:val="0"/>
          <w:i/>
        </w:rPr>
        <w:t>Связанные документы: docs/broker-base-tz.md, docs/call-center-team.md, docs/uniqueness-logic.md</w:t>
      </w:r>
    </w:p>
    <w:p>
      <w:pPr>
        <w:pStyle w:val="Heading1"/>
      </w:pPr>
      <w:r>
        <w:rPr>
          <w:color w:val="2C3E50"/>
        </w:rPr>
        <w:t>1. Что было изучено</w:t>
      </w:r>
    </w:p>
    <w:p>
      <w:pPr>
        <w:pStyle w:val="Heading2"/>
      </w:pPr>
      <w:r>
        <w:rPr>
          <w:color w:val="2C3E50"/>
        </w:rPr>
        <w:t>1.1 Текущая база (Google Sheets)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Всего записей</w:t>
            </w:r>
          </w:p>
        </w:tc>
        <w:tc>
          <w:tcPr>
            <w:tcW w:type="dxa" w:w="2880"/>
          </w:tcPr>
          <w:p>
            <w:r>
              <w:t>10 837</w:t>
            </w:r>
          </w:p>
        </w:tc>
        <w:tc>
          <w:tcPr>
            <w:tcW w:type="dxa" w:w="2880"/>
          </w:tcPr>
          <w:p>
            <w:r>
              <w:t>Из них 1 без телефона</w:t>
            </w:r>
          </w:p>
        </w:tc>
      </w:tr>
      <w:tr>
        <w:tc>
          <w:tcPr>
            <w:tcW w:type="dxa" w:w="2880"/>
          </w:tcPr>
          <w:p>
            <w:r>
              <w:t>Уникальных с заявкой</w:t>
            </w:r>
          </w:p>
        </w:tc>
        <w:tc>
          <w:tcPr>
            <w:tcW w:type="dxa" w:w="2880"/>
          </w:tcPr>
          <w:p>
            <w:r>
              <w:t>7 506 (69%)</w:t>
            </w:r>
          </w:p>
        </w:tc>
        <w:tc>
          <w:tcPr>
            <w:tcW w:type="dxa" w:w="2880"/>
          </w:tcPr>
          <w:p>
            <w:r>
              <w:t>Хотя бы 1 раз приводили клиента</w:t>
            </w:r>
          </w:p>
        </w:tc>
      </w:tr>
      <w:tr>
        <w:tc>
          <w:tcPr>
            <w:tcW w:type="dxa" w:w="2880"/>
          </w:tcPr>
          <w:p>
            <w:r>
              <w:t>С хотя бы 1 встречей</w:t>
            </w:r>
          </w:p>
        </w:tc>
        <w:tc>
          <w:tcPr>
            <w:tcW w:type="dxa" w:w="2880"/>
          </w:tcPr>
          <w:p>
            <w:r>
              <w:t>1 544 (14%)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Со сделками</w:t>
            </w:r>
          </w:p>
        </w:tc>
        <w:tc>
          <w:tcPr>
            <w:tcW w:type="dxa" w:w="2880"/>
          </w:tcPr>
          <w:p>
            <w:r>
              <w:t>260 (2.4%)</w:t>
            </w:r>
          </w:p>
        </w:tc>
        <w:tc>
          <w:tcPr>
            <w:tcW w:type="dxa" w:w="2880"/>
          </w:tcPr>
          <w:p>
            <w:r>
              <w:t>Низкая конверсия — типично для холодной базы</w:t>
            </w:r>
          </w:p>
        </w:tc>
      </w:tr>
      <w:tr>
        <w:tc>
          <w:tcPr>
            <w:tcW w:type="dxa" w:w="2880"/>
          </w:tcPr>
          <w:p>
            <w:r>
              <w:t>Среднее заявок на брокера</w:t>
            </w:r>
          </w:p>
        </w:tc>
        <w:tc>
          <w:tcPr>
            <w:tcW w:type="dxa" w:w="2880"/>
          </w:tcPr>
          <w:p>
            <w:r>
              <w:t>3.3</w:t>
            </w:r>
          </w:p>
        </w:tc>
        <w:tc>
          <w:tcPr>
            <w:tcW w:type="dxa" w:w="2880"/>
          </w:tcPr>
          <w:p>
            <w:r>
              <w:t>По активным</w:t>
            </w:r>
          </w:p>
        </w:tc>
      </w:tr>
      <w:tr>
        <w:tc>
          <w:tcPr>
            <w:tcW w:type="dxa" w:w="2880"/>
          </w:tcPr>
          <w:p>
            <w:r>
              <w:t>Макс заявок одним брокером</w:t>
            </w:r>
          </w:p>
        </w:tc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Топ-1, явный топ-брокер</w:t>
            </w:r>
          </w:p>
        </w:tc>
      </w:tr>
    </w:tbl>
    <w:p>
      <w:pPr>
        <w:pStyle w:val="Heading2"/>
      </w:pPr>
      <w:r>
        <w:rPr>
          <w:color w:val="2C3E50"/>
        </w:rPr>
        <w:t>1.2 Колонки текущей базы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Значения / Использование</w:t>
            </w:r>
          </w:p>
        </w:tc>
      </w:tr>
      <w:tr>
        <w:tc>
          <w:tcPr>
            <w:tcW w:type="dxa" w:w="4320"/>
          </w:tcPr>
          <w:p>
            <w:r>
              <w:t>Имя</w:t>
            </w:r>
          </w:p>
        </w:tc>
        <w:tc>
          <w:tcPr>
            <w:tcW w:type="dxa" w:w="4320"/>
          </w:tcPr>
          <w:p>
            <w:r>
              <w:t>Часто только имя без фамилии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Формат +7XXXX</w:t>
            </w:r>
          </w:p>
        </w:tc>
      </w:tr>
      <w:tr>
        <w:tc>
          <w:tcPr>
            <w:tcW w:type="dxa" w:w="4320"/>
          </w:tcPr>
          <w:p>
            <w:r>
              <w:t>Кол-во заявок на уникальность</w:t>
            </w:r>
          </w:p>
        </w:tc>
        <w:tc>
          <w:tcPr>
            <w:tcW w:type="dxa" w:w="4320"/>
          </w:tcPr>
          <w:p>
            <w:r>
              <w:t>Счётчик</w:t>
            </w:r>
          </w:p>
        </w:tc>
      </w:tr>
      <w:tr>
        <w:tc>
          <w:tcPr>
            <w:tcW w:type="dxa" w:w="4320"/>
          </w:tcPr>
          <w:p>
            <w:r>
              <w:t>Встречи</w:t>
            </w:r>
          </w:p>
        </w:tc>
        <w:tc>
          <w:tcPr>
            <w:tcW w:type="dxa" w:w="4320"/>
          </w:tcPr>
          <w:p>
            <w:r>
              <w:t>Счётчик</w:t>
            </w:r>
          </w:p>
        </w:tc>
      </w:tr>
      <w:tr>
        <w:tc>
          <w:tcPr>
            <w:tcW w:type="dxa" w:w="4320"/>
          </w:tcPr>
          <w:p>
            <w:r>
              <w:t>Сделки</w:t>
            </w:r>
          </w:p>
        </w:tc>
        <w:tc>
          <w:tcPr>
            <w:tcW w:type="dxa" w:w="4320"/>
          </w:tcPr>
          <w:p>
            <w:r>
              <w:t>Счётчик</w:t>
            </w:r>
          </w:p>
        </w:tc>
      </w:tr>
      <w:tr>
        <w:tc>
          <w:tcPr>
            <w:tcW w:type="dxa" w:w="4320"/>
          </w:tcPr>
          <w:p>
            <w:r>
              <w:t>ЗВОНОК</w:t>
            </w:r>
          </w:p>
        </w:tc>
        <w:tc>
          <w:tcPr>
            <w:tcW w:type="dxa" w:w="4320"/>
          </w:tcPr>
          <w:p>
            <w:r>
              <w:t>Всегда «да» — техническое</w:t>
            </w:r>
          </w:p>
        </w:tc>
      </w:tr>
      <w:tr>
        <w:tc>
          <w:tcPr>
            <w:tcW w:type="dxa" w:w="4320"/>
          </w:tcPr>
          <w:p>
            <w:r>
              <w:t>Результат звонка</w:t>
            </w:r>
          </w:p>
        </w:tc>
        <w:tc>
          <w:tcPr>
            <w:tcW w:type="dxa" w:w="4320"/>
          </w:tcPr>
          <w:p>
            <w:r>
              <w:t>11 категорий (см. ниже)</w:t>
            </w:r>
          </w:p>
        </w:tc>
      </w:tr>
      <w:tr>
        <w:tc>
          <w:tcPr>
            <w:tcW w:type="dxa" w:w="4320"/>
          </w:tcPr>
          <w:p>
            <w:r>
              <w:t>Обзвон по Зорге</w:t>
            </w:r>
          </w:p>
        </w:tc>
        <w:tc>
          <w:tcPr>
            <w:tcW w:type="dxa" w:w="4320"/>
          </w:tcPr>
          <w:p>
            <w:r>
              <w:t>Отдельная кампания</w:t>
            </w:r>
          </w:p>
        </w:tc>
      </w:tr>
      <w:tr>
        <w:tc>
          <w:tcPr>
            <w:tcW w:type="dxa" w:w="4320"/>
          </w:tcPr>
          <w:p>
            <w:r>
              <w:t>Комментарий</w:t>
            </w:r>
          </w:p>
        </w:tc>
        <w:tc>
          <w:tcPr>
            <w:tcW w:type="dxa" w:w="4320"/>
          </w:tcPr>
          <w:p>
            <w:r>
              <w:t>Свободный текст оператора</w:t>
            </w:r>
          </w:p>
        </w:tc>
      </w:tr>
    </w:tbl>
    <w:p>
      <w:pPr>
        <w:pStyle w:val="Heading2"/>
      </w:pPr>
      <w:r>
        <w:rPr>
          <w:color w:val="2C3E50"/>
        </w:rPr>
        <w:t>1.3 Категории результата звонка (топ-11)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880"/>
          </w:tcPr>
          <w:p>
            <w:r>
              <w:t>НДЗ</w:t>
            </w:r>
          </w:p>
        </w:tc>
        <w:tc>
          <w:tcPr>
            <w:tcW w:type="dxa" w:w="2880"/>
          </w:tcPr>
          <w:p>
            <w:r>
              <w:t>4 943</w:t>
            </w:r>
          </w:p>
        </w:tc>
        <w:tc>
          <w:tcPr>
            <w:tcW w:type="dxa" w:w="2880"/>
          </w:tcPr>
          <w:p>
            <w:r>
              <w:t>Не дозвонились — перезвонить через 2-3 дня</w:t>
            </w:r>
          </w:p>
        </w:tc>
      </w:tr>
      <w:tr>
        <w:tc>
          <w:tcPr>
            <w:tcW w:type="dxa" w:w="2880"/>
          </w:tcPr>
          <w:p>
            <w:r>
              <w:t>Проинформирован о новых условиях</w:t>
            </w:r>
          </w:p>
        </w:tc>
        <w:tc>
          <w:tcPr>
            <w:tcW w:type="dxa" w:w="2880"/>
          </w:tcPr>
          <w:p>
            <w:r>
              <w:t>1 788</w:t>
            </w:r>
          </w:p>
        </w:tc>
        <w:tc>
          <w:tcPr>
            <w:tcW w:type="dxa" w:w="2880"/>
          </w:tcPr>
          <w:p>
            <w:r>
              <w:t>Можно перезванивать через месяц</w:t>
            </w:r>
          </w:p>
        </w:tc>
      </w:tr>
      <w:tr>
        <w:tc>
          <w:tcPr>
            <w:tcW w:type="dxa" w:w="2880"/>
          </w:tcPr>
          <w:p>
            <w:r>
              <w:t>Уже был, на ТГ подписан</w:t>
            </w:r>
          </w:p>
        </w:tc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Не дёргать (warm контакт)</w:t>
            </w:r>
          </w:p>
        </w:tc>
      </w:tr>
      <w:tr>
        <w:tc>
          <w:tcPr>
            <w:tcW w:type="dxa" w:w="2880"/>
          </w:tcPr>
          <w:p>
            <w:r>
              <w:t>Некорректный номер</w:t>
            </w:r>
          </w:p>
        </w:tc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BLACKLIST</w:t>
            </w:r>
          </w:p>
        </w:tc>
      </w:tr>
      <w:tr>
        <w:tc>
          <w:tcPr>
            <w:tcW w:type="dxa" w:w="2880"/>
          </w:tcPr>
          <w:p>
            <w:r>
              <w:t>2 НДЗ</w:t>
            </w:r>
          </w:p>
        </w:tc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После 2 НДЗ → BLACKLIST</w:t>
            </w:r>
          </w:p>
        </w:tc>
      </w:tr>
      <w:tr>
        <w:tc>
          <w:tcPr>
            <w:tcW w:type="dxa" w:w="2880"/>
          </w:tcPr>
          <w:p>
            <w:r>
              <w:t>Отказ от коммуникации</w:t>
            </w:r>
          </w:p>
        </w:tc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BLACKLIST</w:t>
            </w:r>
          </w:p>
        </w:tc>
      </w:tr>
      <w:tr>
        <w:tc>
          <w:tcPr>
            <w:tcW w:type="dxa" w:w="2880"/>
          </w:tcPr>
          <w:p>
            <w:r>
              <w:t>НЕ брокер</w:t>
            </w:r>
          </w:p>
        </w:tc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BLACKLIST</w:t>
            </w:r>
          </w:p>
        </w:tc>
      </w:tr>
      <w:tr>
        <w:tc>
          <w:tcPr>
            <w:tcW w:type="dxa" w:w="2880"/>
          </w:tcPr>
          <w:p>
            <w:r>
              <w:t>Запись на БТ</w:t>
            </w:r>
          </w:p>
        </w:tc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HOT — отслеживать приход</w:t>
            </w:r>
          </w:p>
        </w:tc>
      </w:tr>
      <w:tr>
        <w:tc>
          <w:tcPr>
            <w:tcW w:type="dxa" w:w="2880"/>
          </w:tcPr>
          <w:p>
            <w:r>
              <w:t>Только отправить инфо</w:t>
            </w:r>
          </w:p>
        </w:tc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Письмо, без звонка</w:t>
            </w:r>
          </w:p>
        </w:tc>
      </w:tr>
      <w:tr>
        <w:tc>
          <w:tcPr>
            <w:tcW w:type="dxa" w:w="2880"/>
          </w:tcPr>
          <w:p>
            <w:r>
              <w:t>В работе</w:t>
            </w:r>
          </w:p>
        </w:tc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Активный контакт</w:t>
            </w:r>
          </w:p>
        </w:tc>
      </w:tr>
      <w:tr>
        <w:tc>
          <w:tcPr>
            <w:tcW w:type="dxa" w:w="2880"/>
          </w:tcPr>
          <w:p>
            <w:r>
              <w:t>Отказ от БТ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LUKEWARM</w:t>
            </w:r>
          </w:p>
        </w:tc>
      </w:tr>
    </w:tbl>
    <w:p>
      <w:pPr>
        <w:pStyle w:val="Heading1"/>
      </w:pPr>
      <w:r>
        <w:rPr>
          <w:color w:val="2C3E50"/>
        </w:rPr>
        <w:t>2. Рекомендации</w:t>
      </w:r>
    </w:p>
    <w:p>
      <w:pPr>
        <w:pStyle w:val="Heading2"/>
      </w:pPr>
      <w:r>
        <w:rPr>
          <w:color w:val="2C3E50"/>
        </w:rPr>
        <w:t>2.1 Архитектура: расширить Broker (не создавать отдельный BrokerLead)</w:t>
      </w:r>
    </w:p>
    <w:p>
      <w:r>
        <w:rPr>
          <w:b w:val="0"/>
          <w:i w:val="0"/>
        </w:rPr>
        <w:t>Почему: единая запись брокера от первого холодного звонка до закрытия сделки. Никакого «двойного учёта». Если брокер сам зарегистрируется — связь автоматическая.</w:t>
      </w:r>
    </w:p>
    <w:p>
      <w:r>
        <w:rPr>
          <w:b w:val="0"/>
          <w:i w:val="0"/>
        </w:rPr>
        <w:t>Минус: таблица brokers разрастётся до 10K+ строк, но это норма для Postgres.</w:t>
      </w:r>
    </w:p>
    <w:p>
      <w:pPr>
        <w:pStyle w:val="Heading2"/>
      </w:pPr>
      <w:r>
        <w:rPr>
          <w:color w:val="2C3E50"/>
        </w:rPr>
        <w:t>2.2 Категории — на основе текущих 11 результатов</w:t>
      </w:r>
    </w:p>
    <w:p>
      <w:r>
        <w:rPr>
          <w:b w:val="0"/>
          <w:i w:val="0"/>
        </w:rPr>
        <w:t>Свести 11 категорий в 5 рабочих статусов: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входит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Действие КЦ</w:t>
            </w:r>
          </w:p>
        </w:tc>
      </w:tr>
      <w:tr>
        <w:tc>
          <w:tcPr>
            <w:tcW w:type="dxa" w:w="2880"/>
          </w:tcPr>
          <w:p>
            <w:r>
              <w:t>COLD</w:t>
            </w:r>
          </w:p>
        </w:tc>
        <w:tc>
          <w:tcPr>
            <w:tcW w:type="dxa" w:w="2880"/>
          </w:tcPr>
          <w:p>
            <w:r>
              <w:t>НДЗ (без 2x), новые из импорта</w:t>
            </w:r>
          </w:p>
        </w:tc>
        <w:tc>
          <w:tcPr>
            <w:tcW w:type="dxa" w:w="2880"/>
          </w:tcPr>
          <w:p>
            <w:r>
              <w:t>Звонить регулярно</w:t>
            </w:r>
          </w:p>
        </w:tc>
      </w:tr>
      <w:tr>
        <w:tc>
          <w:tcPr>
            <w:tcW w:type="dxa" w:w="2880"/>
          </w:tcPr>
          <w:p>
            <w:r>
              <w:t>WARM</w:t>
            </w:r>
          </w:p>
        </w:tc>
        <w:tc>
          <w:tcPr>
            <w:tcW w:type="dxa" w:w="2880"/>
          </w:tcPr>
          <w:p>
            <w:r>
              <w:t>Проинформирован, Только отправить инфо, Уже был</w:t>
            </w:r>
          </w:p>
        </w:tc>
        <w:tc>
          <w:tcPr>
            <w:tcW w:type="dxa" w:w="2880"/>
          </w:tcPr>
          <w:p>
            <w:r>
              <w:t>Редкие касания (раз в 2-3 мес)</w:t>
            </w:r>
          </w:p>
        </w:tc>
      </w:tr>
      <w:tr>
        <w:tc>
          <w:tcPr>
            <w:tcW w:type="dxa" w:w="2880"/>
          </w:tcPr>
          <w:p>
            <w:r>
              <w:t>HOT</w:t>
            </w:r>
          </w:p>
        </w:tc>
        <w:tc>
          <w:tcPr>
            <w:tcW w:type="dxa" w:w="2880"/>
          </w:tcPr>
          <w:p>
            <w:r>
              <w:t>Запись на БТ, В работе</w:t>
            </w:r>
          </w:p>
        </w:tc>
        <w:tc>
          <w:tcPr>
            <w:tcW w:type="dxa" w:w="2880"/>
          </w:tcPr>
          <w:p>
            <w:r>
              <w:t>Приоритет звонков</w:t>
            </w:r>
          </w:p>
        </w:tc>
      </w:tr>
      <w:tr>
        <w:tc>
          <w:tcPr>
            <w:tcW w:type="dxa" w:w="2880"/>
          </w:tcPr>
          <w:p>
            <w:r>
              <w:t>CONVERTED</w:t>
            </w:r>
          </w:p>
        </w:tc>
        <w:tc>
          <w:tcPr>
            <w:tcW w:type="dxa" w:w="2880"/>
          </w:tcPr>
          <w:p>
            <w:r>
              <w:t>Есть встреча/сделка</w:t>
            </w:r>
          </w:p>
        </w:tc>
        <w:tc>
          <w:tcPr>
            <w:tcW w:type="dxa" w:w="2880"/>
          </w:tcPr>
          <w:p>
            <w:r>
              <w:t>Вне обзвонной воронки</w:t>
            </w:r>
          </w:p>
        </w:tc>
      </w:tr>
      <w:tr>
        <w:tc>
          <w:tcPr>
            <w:tcW w:type="dxa" w:w="2880"/>
          </w:tcPr>
          <w:p>
            <w:r>
              <w:t>BLACKLIST</w:t>
            </w:r>
          </w:p>
        </w:tc>
        <w:tc>
          <w:tcPr>
            <w:tcW w:type="dxa" w:w="2880"/>
          </w:tcPr>
          <w:p>
            <w:r>
              <w:t>НЕ брокер, Некорректный, Отказ, 2 НДЗ</w:t>
            </w:r>
          </w:p>
        </w:tc>
        <w:tc>
          <w:tcPr>
            <w:tcW w:type="dxa" w:w="2880"/>
          </w:tcPr>
          <w:p>
            <w:r>
              <w:t>Не звоним</w:t>
            </w:r>
          </w:p>
        </w:tc>
      </w:tr>
    </w:tbl>
    <w:p>
      <w:pPr>
        <w:pStyle w:val="Heading2"/>
      </w:pPr>
      <w:r>
        <w:rPr>
          <w:color w:val="2C3E50"/>
        </w:rPr>
        <w:t>2.3 Кампании — отдельная сущность</w:t>
      </w:r>
    </w:p>
    <w:p>
      <w:r>
        <w:rPr>
          <w:b w:val="0"/>
          <w:i w:val="0"/>
        </w:rPr>
        <w:t>Сейчас в Google две колонки G и H = две разные кампании («общий обзвон» + «по Зорге»). В будущем будет больше:</w:t>
      </w:r>
    </w:p>
    <w:p>
      <w:pPr>
        <w:pStyle w:val="ListBullet"/>
      </w:pPr>
      <w:r>
        <w:t>«Серебряный Бор зима 2026»</w:t>
      </w:r>
    </w:p>
    <w:p>
      <w:pPr>
        <w:pStyle w:val="ListBullet"/>
      </w:pPr>
      <w:r>
        <w:t>«Новые условия комиссии май 2026»</w:t>
      </w:r>
    </w:p>
    <w:p>
      <w:pPr>
        <w:pStyle w:val="ListBullet"/>
      </w:pPr>
      <w:r>
        <w:t>«БТ август 2026»</w:t>
      </w:r>
    </w:p>
    <w:p>
      <w:r>
        <w:rPr>
          <w:b w:val="0"/>
          <w:i w:val="0"/>
        </w:rPr>
        <w:t>Поэтому Campaign как отдельная модель + CallLog.campaignId — обязательно.</w:t>
      </w:r>
    </w:p>
    <w:p>
      <w:pPr>
        <w:pStyle w:val="Heading2"/>
      </w:pPr>
      <w:r>
        <w:rPr>
          <w:color w:val="2C3E50"/>
        </w:rPr>
        <w:t>2.4 Сегментация: специализация и регион</w:t>
      </w:r>
    </w:p>
    <w:p>
      <w:r>
        <w:rPr>
          <w:b w:val="0"/>
          <w:i w:val="0"/>
        </w:rPr>
        <w:t>В базе нет этих полей. Рекомендуем добавить через опросник оператора:</w:t>
      </w:r>
    </w:p>
    <w:p>
      <w:pPr>
        <w:pStyle w:val="ListBullet"/>
      </w:pPr>
      <w:r>
        <w:t>Первый успешный контакт → оператор спрашивает «коммерция или жилая?», «Москва или другой регион?»</w:t>
      </w:r>
    </w:p>
    <w:p>
      <w:pPr>
        <w:pStyle w:val="ListBullet"/>
      </w:pPr>
      <w:r>
        <w:t>Поля: specialization (COMM / RESIDENTIAL / BOTH), region (MSK / SPB / OTHER)</w:t>
      </w:r>
    </w:p>
    <w:p>
      <w:pPr>
        <w:pStyle w:val="ListBullet"/>
      </w:pPr>
      <w:r>
        <w:t>Через 3 месяца — данные для конверсионной аналитики</w:t>
      </w:r>
    </w:p>
    <w:p>
      <w:pPr>
        <w:pStyle w:val="Heading2"/>
      </w:pPr>
      <w:r>
        <w:rPr>
          <w:color w:val="2C3E50"/>
        </w:rPr>
        <w:t>2.5 Расписание операторов</w:t>
      </w:r>
    </w:p>
    <w:p>
      <w:r>
        <w:rPr>
          <w:b w:val="0"/>
          <w:i w:val="0"/>
        </w:rPr>
        <w:t>Делаем позже, когда уйдём от Morekit. Сейчас Morekit распределяет автоматически — нам ничего не делать.</w:t>
      </w:r>
    </w:p>
    <w:p>
      <w:r>
        <w:rPr>
          <w:b w:val="0"/>
          <w:i w:val="0"/>
        </w:rPr>
        <w:t>Когда придёт время:</w:t>
      </w:r>
    </w:p>
    <w:p>
      <w:pPr>
        <w:pStyle w:val="ListBullet"/>
      </w:pPr>
      <w:r>
        <w:t>Модель OperatorShift с временами начала/конца</w:t>
      </w:r>
    </w:p>
    <w:p>
      <w:pPr>
        <w:pStyle w:val="ListBullet"/>
      </w:pPr>
      <w:r>
        <w:t>Round-robin + квота по дню</w:t>
      </w:r>
    </w:p>
    <w:p>
      <w:pPr>
        <w:pStyle w:val="ListBullet"/>
      </w:pPr>
      <w:r>
        <w:t>Switch LEAD_DISTRIBUTION_MODE (MOREKIT vs OWN)</w:t>
      </w:r>
    </w:p>
    <w:p>
      <w:pPr>
        <w:pStyle w:val="Heading2"/>
      </w:pPr>
      <w:r>
        <w:rPr>
          <w:color w:val="2C3E50"/>
        </w:rPr>
        <w:t>2.6 Связь с amoCRM</w:t>
      </w:r>
    </w:p>
    <w:p>
      <w:r>
        <w:rPr>
          <w:b w:val="0"/>
          <w:i w:val="0"/>
        </w:rPr>
        <w:t>Не дублируем amoCRM, не отказываемся от неё. Сосуществование:</w:t>
      </w:r>
    </w:p>
    <w:p>
      <w:pPr>
        <w:pStyle w:val="ListBullet"/>
      </w:pPr>
      <w:r>
        <w:t>amoCRM остаётся системой записи лидов клиентов (когда брокер привёл клиента)</w:t>
      </w:r>
    </w:p>
    <w:p>
      <w:pPr>
        <w:pStyle w:val="ListBullet"/>
      </w:pPr>
      <w:r>
        <w:t>Наш кабинет = админка для управления брокерами + база КЦ</w:t>
      </w:r>
    </w:p>
    <w:p>
      <w:pPr>
        <w:pStyle w:val="ListBullet"/>
      </w:pPr>
      <w:r>
        <w:t>Связь: Broker.amoContactId (уже есть)</w:t>
      </w:r>
    </w:p>
    <w:p>
      <w:r>
        <w:rPr>
          <w:b w:val="0"/>
          <w:i w:val="0"/>
        </w:rPr>
        <w:t>Двусторонний sync только для конкретных полей:</w:t>
      </w:r>
    </w:p>
    <w:p>
      <w:pPr>
        <w:pStyle w:val="ListBullet"/>
      </w:pPr>
      <w:r>
        <w:t>Broker.fullName ↔ amoCRM contact name</w:t>
      </w:r>
    </w:p>
    <w:p>
      <w:pPr>
        <w:pStyle w:val="ListBullet"/>
      </w:pPr>
      <w:r>
        <w:t>Broker.lastCallResult ↔ amoCRM lead custom field (опционально)</w:t>
      </w:r>
    </w:p>
    <w:p>
      <w:pPr>
        <w:pStyle w:val="ListBullet"/>
      </w:pPr>
      <w:r>
        <w:t>НЕ синхронизируем категорию (она наша внутренняя)</w:t>
      </w:r>
    </w:p>
    <w:p>
      <w:pPr>
        <w:pStyle w:val="Heading2"/>
      </w:pPr>
      <w:r>
        <w:rPr>
          <w:color w:val="2C3E50"/>
        </w:rPr>
        <w:t>2.7 Импорт из Google Sheets — одноразовый</w:t>
      </w:r>
    </w:p>
    <w:p>
      <w:r>
        <w:rPr>
          <w:b w:val="0"/>
          <w:i w:val="0"/>
        </w:rPr>
        <w:t>Сейчас Google = master. После импорта переключаемся: наш кабинет = master, Google архивируется.</w:t>
      </w:r>
    </w:p>
    <w:p>
      <w:r>
        <w:rPr>
          <w:b w:val="0"/>
          <w:i w:val="0"/>
        </w:rPr>
        <w:t>Двусторонний sync с Google Sheets не делать — слишком хрупко (квоты, конфликты, лимиты записи). Если КЦ хочет видеть в Google — экспортируем раз в неделю в read-only viewer-таблицу.</w:t>
      </w:r>
    </w:p>
    <w:p>
      <w:pPr>
        <w:pStyle w:val="Heading2"/>
      </w:pPr>
      <w:r>
        <w:rPr>
          <w:color w:val="2C3E50"/>
        </w:rPr>
        <w:t>2.8 Удаление PII при увольнении</w:t>
      </w:r>
    </w:p>
    <w:p>
      <w:r>
        <w:rPr>
          <w:b w:val="0"/>
          <w:i w:val="0"/>
        </w:rPr>
        <w:t>Когда увольняется оператор/брокер — анонимизация, не удаление:</w:t>
      </w:r>
    </w:p>
    <w:p>
      <w:pPr>
        <w:pStyle w:val="ListBullet"/>
      </w:pPr>
      <w:r>
        <w:t>Заменяем имя на «Бывший брокер #N»</w:t>
      </w:r>
    </w:p>
    <w:p>
      <w:pPr>
        <w:pStyle w:val="ListBullet"/>
      </w:pPr>
      <w:r>
        <w:t>Сохраняем CallLog (для аналитики)</w:t>
      </w:r>
    </w:p>
    <w:p>
      <w:pPr>
        <w:pStyle w:val="ListBullet"/>
      </w:pPr>
      <w:r>
        <w:t>Помечаем isActive = false, anonymizedAt</w:t>
      </w:r>
    </w:p>
    <w:p>
      <w:pPr>
        <w:pStyle w:val="Heading1"/>
      </w:pPr>
      <w:r>
        <w:rPr>
          <w:color w:val="2C3E50"/>
        </w:rPr>
        <w:t>3. Открытые вопросы для обсуждения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Мой вариант ответа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Хранить телефоны в открытом виде или маскировать (последние 4 цифры) для обычных операторов?</w:t>
            </w:r>
          </w:p>
        </w:tc>
        <w:tc>
          <w:tcPr>
            <w:tcW w:type="dxa" w:w="2880"/>
          </w:tcPr>
          <w:p>
            <w:r>
              <w:t>В открытом виде — иначе нельзя звонить. Маскирование только для админ-аналитики.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GDPR/152-ФЗ — оператор из другой страны?</w:t>
            </w:r>
          </w:p>
        </w:tc>
        <w:tc>
          <w:tcPr>
            <w:tcW w:type="dxa" w:w="2880"/>
          </w:tcPr>
          <w:p>
            <w:r>
              <w:t>Обсудить с юристом. В пределах РФ всё ОК если есть согласие.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Один телефон у двух брокеров (поменяли симку)?</w:t>
            </w:r>
          </w:p>
        </w:tc>
        <w:tc>
          <w:tcPr>
            <w:tcW w:type="dxa" w:w="2880"/>
          </w:tcPr>
          <w:p>
            <w:r>
              <w:t>По phone уникальный constraint, ручной merge через админку.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Хранить запись звонка (audio из Mango)?</w:t>
            </w:r>
          </w:p>
        </w:tc>
        <w:tc>
          <w:tcPr>
            <w:tcW w:type="dxa" w:w="2880"/>
          </w:tcPr>
          <w:p>
            <w:r>
              <w:t>Да, но в S3 с тегом TTL 6 месяцев — для качества и юр.вопросов.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Кто такие «Координаторы» (Sheet2 в Excel)?</w:t>
            </w:r>
          </w:p>
        </w:tc>
        <w:tc>
          <w:tcPr>
            <w:tcW w:type="dxa" w:w="2880"/>
          </w:tcPr>
          <w:p>
            <w:r>
              <w:t>Жду уточнения. Возможно — старший оператор / руководитель команды.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Что делать с дубликатами в Google (одинаковые телефоны)?</w:t>
            </w:r>
          </w:p>
        </w:tc>
        <w:tc>
          <w:tcPr>
            <w:tcW w:type="dxa" w:w="2880"/>
          </w:tcPr>
          <w:p>
            <w:r>
              <w:t>Merge при импорте — суммировать счётчики, оставлять последний коммент.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Сколько лет хранить BLACKLIST брокеров?</w:t>
            </w:r>
          </w:p>
        </w:tc>
        <w:tc>
          <w:tcPr>
            <w:tcW w:type="dxa" w:w="2880"/>
          </w:tcPr>
          <w:p>
            <w:r>
              <w:t>2 года — потом удалять полностью.</w:t>
            </w:r>
          </w:p>
        </w:tc>
      </w:tr>
    </w:tbl>
    <w:p>
      <w:pPr>
        <w:pStyle w:val="Heading1"/>
      </w:pPr>
      <w:r>
        <w:rPr>
          <w:color w:val="2C3E50"/>
        </w:rPr>
        <w:t>4. План реализации (по этапам)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делается</w:t>
            </w:r>
          </w:p>
        </w:tc>
      </w:tr>
      <w:tr>
        <w:tc>
          <w:tcPr>
            <w:tcW w:type="dxa" w:w="2880"/>
          </w:tcPr>
          <w:p>
            <w:r>
              <w:t>0. Подготовка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Согласовать ТЗ. Получить доступ к Google Sheets через Service Account.</w:t>
            </w:r>
          </w:p>
        </w:tc>
      </w:tr>
      <w:tr>
        <w:tc>
          <w:tcPr>
            <w:tcW w:type="dxa" w:w="2880"/>
          </w:tcPr>
          <w:p>
            <w:r>
              <w:t>1. Модель данных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Prisma migration: расширить Broker, создать CallLog, Campaign. Без UI.</w:t>
            </w:r>
          </w:p>
        </w:tc>
      </w:tr>
      <w:tr>
        <w:tc>
          <w:tcPr>
            <w:tcW w:type="dxa" w:w="2880"/>
          </w:tcPr>
          <w:p>
            <w:r>
              <w:t>2. Импорт из Google</w:t>
            </w:r>
          </w:p>
        </w:tc>
        <w:tc>
          <w:tcPr>
            <w:tcW w:type="dxa" w:w="2880"/>
          </w:tcPr>
          <w:p>
            <w:r>
              <w:t>2 дня</w:t>
            </w:r>
          </w:p>
        </w:tc>
        <w:tc>
          <w:tcPr>
            <w:tcW w:type="dxa" w:w="2880"/>
          </w:tcPr>
          <w:p>
            <w:r>
              <w:t>Скрипт scripts/import-google-brokers.js. Workflow task. Дедупликация по телефону.</w:t>
            </w:r>
          </w:p>
        </w:tc>
      </w:tr>
      <w:tr>
        <w:tc>
          <w:tcPr>
            <w:tcW w:type="dxa" w:w="2880"/>
          </w:tcPr>
          <w:p>
            <w:r>
              <w:t>3. UI колл-центра</w:t>
            </w:r>
          </w:p>
        </w:tc>
        <w:tc>
          <w:tcPr>
            <w:tcW w:type="dxa" w:w="2880"/>
          </w:tcPr>
          <w:p>
            <w:r>
              <w:t>5-7 дней</w:t>
            </w:r>
          </w:p>
        </w:tc>
        <w:tc>
          <w:tcPr>
            <w:tcW w:type="dxa" w:w="2880"/>
          </w:tcPr>
          <w:p>
            <w:r>
              <w:t>Очередь обзвона. Карточка брокера с быстрыми кнопками. История CallLog.</w:t>
            </w:r>
          </w:p>
        </w:tc>
      </w:tr>
      <w:tr>
        <w:tc>
          <w:tcPr>
            <w:tcW w:type="dxa" w:w="2880"/>
          </w:tcPr>
          <w:p>
            <w:r>
              <w:t>4. Кампании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CRUD кампаний. Фильтры таргетинга. Dashboard.</w:t>
            </w:r>
          </w:p>
        </w:tc>
      </w:tr>
      <w:tr>
        <w:tc>
          <w:tcPr>
            <w:tcW w:type="dxa" w:w="2880"/>
          </w:tcPr>
          <w:p>
            <w:r>
              <w:t>5. Аналитика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Воронка конверсии. KPI операторов. Графики.</w:t>
            </w:r>
          </w:p>
        </w:tc>
      </w:tr>
      <w:tr>
        <w:tc>
          <w:tcPr>
            <w:tcW w:type="dxa" w:w="2880"/>
          </w:tcPr>
          <w:p>
            <w:r>
              <w:t>6 (опц). Round-robin</w:t>
            </w:r>
          </w:p>
        </w:tc>
        <w:tc>
          <w:tcPr>
            <w:tcW w:type="dxa" w:w="2880"/>
          </w:tcPr>
          <w:p>
            <w:r>
              <w:t>5 дней</w:t>
            </w:r>
          </w:p>
        </w:tc>
        <w:tc>
          <w:tcPr>
            <w:tcW w:type="dxa" w:w="2880"/>
          </w:tcPr>
          <w:p>
            <w:r>
              <w:t>Когда уйдём от Morekit.</w:t>
            </w:r>
          </w:p>
        </w:tc>
      </w:tr>
      <w:tr>
        <w:tc>
          <w:tcPr>
            <w:tcW w:type="dxa" w:w="2880"/>
          </w:tcPr>
          <w:p>
            <w:r>
              <w:t>7 (опц). Mango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Авто-логирование звонков, click-to-call, S3 audio.</w:t>
            </w:r>
          </w:p>
        </w:tc>
      </w:tr>
    </w:tbl>
    <w:p>
      <w:r>
        <w:rPr>
          <w:b/>
          <w:i w:val="0"/>
        </w:rPr>
        <w:t>Итого MVP (этапы 0-5): ~15 рабочих дней.</w:t>
      </w:r>
    </w:p>
    <w:p>
      <w:pPr>
        <w:pStyle w:val="Heading1"/>
      </w:pPr>
      <w:r>
        <w:rPr>
          <w:color w:val="2C3E50"/>
        </w:rPr>
        <w:t>5. Что НЕ делаем</w:t>
      </w:r>
    </w:p>
    <w:p>
      <w:pPr>
        <w:pStyle w:val="ListBullet"/>
      </w:pPr>
      <w:r>
        <w:t>Не отказываемся от amoCRM — сохраняем как канал лидов клиентов</w:t>
      </w:r>
    </w:p>
    <w:p>
      <w:pPr>
        <w:pStyle w:val="ListBullet"/>
      </w:pPr>
      <w:r>
        <w:t>Не делаем двусторонний sync с Google — only one-time import</w:t>
      </w:r>
    </w:p>
    <w:p>
      <w:pPr>
        <w:pStyle w:val="ListBullet"/>
      </w:pPr>
      <w:r>
        <w:t>Не хранится audio звонков по умолчанию</w:t>
      </w:r>
    </w:p>
    <w:p>
      <w:pPr>
        <w:pStyle w:val="ListBullet"/>
      </w:pPr>
      <w:r>
        <w:t>Не строим систему обучения операторов</w:t>
      </w:r>
    </w:p>
    <w:p>
      <w:pPr>
        <w:pStyle w:val="ListBullet"/>
      </w:pPr>
      <w:r>
        <w:t>Не делаем мобильное приложение для оператора — web-кабинет адаптивный</w:t>
      </w:r>
    </w:p>
    <w:p>
      <w:pPr>
        <w:pStyle w:val="Heading1"/>
      </w:pPr>
      <w:r>
        <w:rPr>
          <w:color w:val="2C3E50"/>
        </w:rPr>
        <w:t>6. Чего жду от тебя на ревью</w:t>
      </w:r>
    </w:p>
    <w:p>
      <w:r>
        <w:rPr>
          <w:b w:val="0"/>
          <w:i w:val="0"/>
        </w:rPr>
        <w:t>1. Подтверждение (✓ или ✗) основной концепции: расширить Broker vs создать BrokerLead</w:t>
      </w:r>
    </w:p>
    <w:p>
      <w:r>
        <w:rPr>
          <w:b w:val="0"/>
          <w:i w:val="0"/>
        </w:rPr>
        <w:t>2. Ответы на 7 открытых вопросов (раздел 3)</w:t>
      </w:r>
    </w:p>
    <w:p>
      <w:r>
        <w:rPr>
          <w:b w:val="0"/>
          <w:i w:val="0"/>
        </w:rPr>
        <w:t>3. Приоритеты по этапам — какой обязателен в первую очередь</w:t>
      </w:r>
    </w:p>
    <w:p>
      <w:r>
        <w:rPr>
          <w:b w:val="0"/>
          <w:i w:val="0"/>
        </w:rPr>
        <w:t>4. Сроки — нужно к какому времени?</w:t>
      </w:r>
    </w:p>
    <w:p>
      <w:r>
        <w:rPr>
          <w:b w:val="0"/>
          <w:i w:val="0"/>
        </w:rPr>
        <w:t>5. Согласование с руководителем КЦ (Скибицкая Анна) — чтобы их workflow не сломался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