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Nature Positive Roadmap — Full Content Extract</w:t>
      </w:r>
    </w:p>
    <w:p>
      <w:r>
        <w:t>This document contains all text content from the website, organized by section. Edit the text below, and the changes will be mapped back to the HTML.</w:t>
        <w:br/>
        <w:t>Note: Section markers like [SECTION: ...] are for reference — do not remove them.</w:t>
      </w:r>
    </w:p>
    <w:p>
      <w:r>
        <w:t>────────────────────────────────────────────────────────────</w:t>
      </w:r>
    </w:p>
    <w:p/>
    <w:p>
      <w:pPr>
        <w:jc w:val="left"/>
      </w:pPr>
      <w:r>
        <w:rPr>
          <w:color w:val="969696"/>
          <w:sz w:val="16"/>
        </w:rPr>
        <w:t>[SECTION 1: id="hero" | class="hero"]</w:t>
      </w:r>
    </w:p>
    <w:p>
      <w:pPr>
        <w:pStyle w:val="Heading1"/>
      </w:pPr>
      <w:r>
        <w:t>Nature positive roadmapFor new developments</w:t>
      </w:r>
    </w:p>
    <w:p>
      <w:r>
        <w:t>Setting a vision for new developments to actively contribute towards national and international nature positive efforts, halting and reversing nature loss by 2030.</w:t>
      </w:r>
    </w:p>
    <w:p>
      <w:r>
        <w:t>────────────────────────────────────────────────────────────</w:t>
      </w:r>
    </w:p>
    <w:p/>
    <w:p>
      <w:pPr>
        <w:jc w:val="left"/>
      </w:pPr>
      <w:r>
        <w:rPr>
          <w:color w:val="969696"/>
          <w:sz w:val="16"/>
        </w:rPr>
        <w:t>[SECTION 2: class="stats-section"]</w:t>
      </w:r>
    </w:p>
    <w:p>
      <w:r>
        <w:t>────────────────────────────────────────────────────────────</w:t>
      </w:r>
    </w:p>
    <w:p/>
    <w:p>
      <w:pPr>
        <w:jc w:val="left"/>
      </w:pPr>
      <w:r>
        <w:rPr>
          <w:color w:val="969696"/>
          <w:sz w:val="16"/>
        </w:rPr>
        <w:t>[SECTION 3: class="inline-nav-bar"]</w:t>
      </w:r>
    </w:p>
    <w:p>
      <w:pPr>
        <w:pStyle w:val="ListBullet"/>
      </w:pPr>
      <w:r>
        <w:t>Introduction</w:t>
      </w:r>
    </w:p>
    <w:p>
      <w:pPr>
        <w:pStyle w:val="ListBullet"/>
      </w:pPr>
      <w:r>
        <w:t>Policy context</w:t>
      </w:r>
    </w:p>
    <w:p>
      <w:pPr>
        <w:pStyle w:val="ListBullet"/>
      </w:pPr>
      <w:r>
        <w:t>Challenge &amp; Response</w:t>
      </w:r>
    </w:p>
    <w:p>
      <w:pPr>
        <w:pStyle w:val="ListBullet"/>
      </w:pPr>
      <w:r>
        <w:t>Roadmap</w:t>
      </w:r>
    </w:p>
    <w:p>
      <w:pPr>
        <w:pStyle w:val="ListBullet"/>
      </w:pPr>
      <w:r>
        <w:t>Actions</w:t>
      </w:r>
    </w:p>
    <w:p>
      <w:pPr>
        <w:pStyle w:val="ListBullet"/>
      </w:pPr>
      <w:r>
        <w:t>Details</w:t>
      </w:r>
    </w:p>
    <w:p>
      <w:pPr>
        <w:pStyle w:val="ListBullet"/>
      </w:pPr>
      <w:r>
        <w:t>Enablers</w:t>
      </w:r>
    </w:p>
    <w:p>
      <w:pPr>
        <w:pStyle w:val="ListBullet"/>
      </w:pPr>
      <w:r>
        <w:t>Green Star</w:t>
      </w:r>
    </w:p>
    <w:p>
      <w:pPr>
        <w:pStyle w:val="ListBullet"/>
      </w:pPr>
      <w:r>
        <w:t>TNFD</w:t>
      </w:r>
    </w:p>
    <w:p>
      <w:pPr>
        <w:pStyle w:val="ListBullet"/>
      </w:pPr>
      <w:r>
        <w:t>Take action</w:t>
      </w:r>
    </w:p>
    <w:p>
      <w:r>
        <w:t>────────────────────────────────────────────────────────────</w:t>
      </w:r>
    </w:p>
    <w:p/>
    <w:p>
      <w:pPr>
        <w:jc w:val="left"/>
      </w:pPr>
      <w:r>
        <w:rPr>
          <w:color w:val="969696"/>
          <w:sz w:val="16"/>
        </w:rPr>
        <w:t>[SECTION 4: class="acknowledgement-section"]</w:t>
      </w:r>
    </w:p>
    <w:p>
      <w:pPr>
        <w:jc w:val="center"/>
      </w:pPr>
      <w:r>
        <w:rPr>
          <w:i/>
        </w:rPr>
        <w:t>""Our cities, buildings, and infrastructure must do more than minimise harm — they must actively protect and regenerate biodiversity and ecosystems.""</w:t>
      </w:r>
    </w:p>
    <w:p>
      <w:pPr>
        <w:jc w:val="center"/>
      </w:pPr>
      <w:r>
        <w:t>— Nature positive roadmap for new developments</w:t>
      </w:r>
    </w:p>
    <w:p>
      <w:r>
        <w:t>────────────────────────────────────────────────────────────</w:t>
      </w:r>
    </w:p>
    <w:p/>
    <w:p>
      <w:pPr>
        <w:jc w:val="left"/>
      </w:pPr>
      <w:r>
        <w:rPr>
          <w:color w:val="969696"/>
          <w:sz w:val="16"/>
        </w:rPr>
        <w:t>[SECTION 5: id="purpose" | class="purpose-section"]</w:t>
      </w:r>
    </w:p>
    <w:p>
      <w:pPr>
        <w:pStyle w:val="Heading1"/>
      </w:pPr>
      <w:r>
        <w:t>A framework for nature positive development</w:t>
      </w:r>
    </w:p>
    <w:p>
      <w:r>
        <w:t>The Nature positive roadmap for new developments sets out how new developments can contribute to collective efforts to halt and reverse nature loss.</w:t>
      </w:r>
    </w:p>
    <w:p>
      <w:r>
        <w:t>Australia’s natural systems are in peril. Land clearing, ecosystem degradation, erosion and sedimentation, spread of pests, altered fire regimes and diseases are key contributors to nature loss. Disconnected planning systems are encroaching into previously undeveloped areas with high biodiversity values and fragmenting ecosystems.</w:t>
      </w:r>
    </w:p>
    <w:p>
      <w:r>
        <w:t>This roadmap provides a clear, practical framework to guide decision-making across the built environment. While focused on new developments, the principles can also inform decision-making for existing buildings and precincts.</w:t>
      </w:r>
    </w:p>
    <w:p>
      <w:r>
        <w:t>Developed with deep industry engagement and aligned with the Kunming-Montreal Global Biodiversity Framework, the roadmap sets time-bound, measurable targets across five principles. It defines pathways from today through to 2050, covering how we prevent nature loss, increase and connect nature, drive circularity, choose low-impact materials, and invest in nature restoration.</w:t>
      </w:r>
    </w:p>
    <w:p>
      <w:r>
        <w:t>The roadmap recognises that Australia’s First Peoples have been custodians of this land for tens of thousands of years, and that their knowledge and stewardship of Country is central to achieving nature positive outcomes.</w:t>
      </w:r>
    </w:p>
    <w:p>
      <w:pPr>
        <w:pStyle w:val="Heading4"/>
      </w:pPr>
      <w:r>
        <w:t>Download the roadmap</w:t>
      </w:r>
    </w:p>
    <w:p>
      <w:r>
        <w:t>Enter your details below to get the full Nature positive roadmap for new developments as a PDF.</w:t>
      </w:r>
    </w:p>
    <w:p>
      <w:r>
        <w:t>Thank you! Your download has started.</w:t>
      </w:r>
    </w:p>
    <w:p>
      <w:r>
        <w:t>────────────────────────────────────────────────────────────</w:t>
      </w:r>
    </w:p>
    <w:p/>
    <w:p>
      <w:pPr>
        <w:jc w:val="left"/>
      </w:pPr>
      <w:r>
        <w:rPr>
          <w:color w:val="969696"/>
          <w:sz w:val="16"/>
        </w:rPr>
        <w:t>[SECTION 6: id="policy" | class="policy-section"]</w:t>
      </w:r>
    </w:p>
    <w:p>
      <w:pPr>
        <w:pStyle w:val="Heading1"/>
      </w:pPr>
      <w:r>
        <w:t>The changing landscape</w:t>
      </w:r>
    </w:p>
    <w:p>
      <w:r>
        <w:t>Australia's environmental policy settings are being reshaped within a global shift toward stronger nature protection. Click any event to explore its significance.</w:t>
      </w:r>
    </w:p>
    <w:p>
      <w:r>
        <w:t>The Convention on Biological Diversity adopted 20 targets at COP10 in Nagoya, Japan. These set a framework for global action on biodiversity through to 2020.</w:t>
      </w:r>
    </w:p>
    <w:p>
      <w:r>
        <w:t>Most targets were not fully met by their 2020 deadline, underscoring the need for stronger, more enforceable commitments.</w:t>
      </w:r>
    </w:p>
    <w:p>
      <w:r>
        <w:t>The landmark IPBES assessment found nature is declining at unprecedented rates, identifying five primary drivers of biodiversity loss.</w:t>
      </w:r>
    </w:p>
    <w:p>
      <w:pPr>
        <w:pStyle w:val="ListBullet"/>
      </w:pPr>
      <w:r>
        <w:t>Land and sea-use change — deforestation, mining, urban development</w:t>
      </w:r>
    </w:p>
    <w:p>
      <w:pPr>
        <w:pStyle w:val="ListBullet"/>
      </w:pPr>
      <w:r>
        <w:t>Climate change — disrupts habitats, drives species migration</w:t>
      </w:r>
    </w:p>
    <w:p>
      <w:pPr>
        <w:pStyle w:val="ListBullet"/>
      </w:pPr>
      <w:r>
        <w:t>Pollution — air, waste, noise, vibration and light</w:t>
      </w:r>
    </w:p>
    <w:p>
      <w:pPr>
        <w:pStyle w:val="ListBullet"/>
      </w:pPr>
      <w:r>
        <w:t>Exploitation — extraction of timber, minerals and steel</w:t>
      </w:r>
    </w:p>
    <w:p>
      <w:pPr>
        <w:pStyle w:val="ListBullet"/>
      </w:pPr>
      <w:r>
        <w:t>Invasive species — threaten native ecosystems</w:t>
      </w:r>
    </w:p>
    <w:p>
      <w:r>
        <w:t>The independent review found Australia’s national environmental law was inadequate and not fit for purpose.</w:t>
      </w:r>
    </w:p>
    <w:p>
      <w:pPr>
        <w:pStyle w:val="ListBullet"/>
      </w:pPr>
      <w:r>
        <w:t>The environment is in an unsustainable state of decline</w:t>
      </w:r>
    </w:p>
    <w:p>
      <w:pPr>
        <w:pStyle w:val="ListBullet"/>
      </w:pPr>
      <w:r>
        <w:t>Compliance and enforcement are inadequate</w:t>
      </w:r>
    </w:p>
    <w:p>
      <w:pPr>
        <w:pStyle w:val="ListBullet"/>
      </w:pPr>
      <w:r>
        <w:t>Offsetting schemes are not delivering outcomes</w:t>
      </w:r>
    </w:p>
    <w:p>
      <w:pPr>
        <w:pStyle w:val="ListBullet"/>
      </w:pPr>
      <w:r>
        <w:t>An independent regulator with strong enforcement powers is needed</w:t>
      </w:r>
    </w:p>
    <w:p>
      <w:r>
        <w:t>The Taskforce on Nature-related Financial Disclosures was established to develop a disclosure framework built on four pillars: governance, strategy, risk management, and targets.</w:t>
      </w:r>
    </w:p>
    <w:p>
      <w:r>
        <w:t>The LEAP framework (Locate, Evaluate, Assess, Prepare) provides a consistent approach for nature-related due diligence.</w:t>
      </w:r>
    </w:p>
    <w:p>
      <w:r>
        <w:t>Australia’s environment is in poor and deteriorating condition across many indicators.</w:t>
      </w:r>
    </w:p>
    <w:p>
      <w:pPr>
        <w:pStyle w:val="ListBullet"/>
      </w:pPr>
      <w:r>
        <w:t>8% increase in species listed as threatened since 2016</w:t>
      </w:r>
    </w:p>
    <w:p>
      <w:pPr>
        <w:pStyle w:val="ListBullet"/>
      </w:pPr>
      <w:r>
        <w:t>20% increase in threatened ecological communities</w:t>
      </w:r>
    </w:p>
    <w:p>
      <w:pPr>
        <w:pStyle w:val="ListBullet"/>
      </w:pPr>
      <w:r>
        <w:t>Urban expansion continuing to deplete ecosystems near cities</w:t>
      </w:r>
    </w:p>
    <w:p>
      <w:r>
        <w:t>Adopted at COP15, this landmark agreement set the goal of halting and reversing nature loss by 2030, with full recovery by 2050.</w:t>
      </w:r>
    </w:p>
    <w:p>
      <w:pPr>
        <w:pStyle w:val="ListBullet"/>
      </w:pPr>
      <w:r>
        <w:t>Target 1: Spatial planning to bring biodiversity loss close to zero</w:t>
      </w:r>
    </w:p>
    <w:p>
      <w:pPr>
        <w:pStyle w:val="ListBullet"/>
      </w:pPr>
      <w:r>
        <w:t>Target 2: 30% of degraded ecosystems under restoration</w:t>
      </w:r>
    </w:p>
    <w:p>
      <w:pPr>
        <w:pStyle w:val="ListBullet"/>
      </w:pPr>
      <w:r>
        <w:t>Target 3: 30% of land and ocean protected (30x30)</w:t>
      </w:r>
    </w:p>
    <w:p>
      <w:pPr>
        <w:pStyle w:val="ListBullet"/>
      </w:pPr>
      <w:r>
        <w:t>Target 15: Businesses to assess and disclose nature-related risks</w:t>
      </w:r>
    </w:p>
    <w:p>
      <w:r>
        <w:t>Over 320 companies committed to adopt the TNFD’s 14 recommended disclosures, aligned with ISSB and GRI standards.</w:t>
      </w:r>
    </w:p>
    <w:p>
      <w:r>
        <w:t>Australia passed the Nature Repair Act to create a market for biodiversity certificates. The PLANR tool provides site-specific natural asset snapshots.</w:t>
      </w:r>
    </w:p>
    <w:p>
      <w:r>
        <w:t>GBCA published Building with Nature 2.0, establishing the foundational analysis that informed the Nature Positive Roadmap.</w:t>
      </w:r>
    </w:p>
    <w:p>
      <w:r>
        <w:t>England became the first country to require all major developments to deliver at least 10% measurable biodiversity net gain, secured for 30 years.</w:t>
      </w:r>
    </w:p>
    <w:p>
      <w:r>
        <w:t>Australia’s Strategy for Nature reinforced the need for nationally consistent data and aligned national efforts with the Kunming-Montreal Global Biodiversity Framework.</w:t>
      </w:r>
    </w:p>
    <w:p>
      <w:r>
        <w:t>The Circular Economy Framework found Australia’s circularity rate is just 4.4%.</w:t>
      </w:r>
    </w:p>
    <w:p>
      <w:pPr>
        <w:pStyle w:val="ListBullet"/>
      </w:pPr>
      <w:r>
        <w:t>Housing and transport contribute 53% of Australia’s materials footprint</w:t>
      </w:r>
    </w:p>
    <w:p>
      <w:pPr>
        <w:pStyle w:val="ListBullet"/>
      </w:pPr>
      <w:r>
        <w:t>A circularity rate of 32% is achievable with existing technology</w:t>
      </w:r>
    </w:p>
    <w:p>
      <w:r>
        <w:t>EPBC Reform Bills established an independent EPA, national environmental standards, and reformed offsetting. The Nature Repair Market became operational.</w:t>
      </w:r>
    </w:p>
    <w:p>
      <w:r>
        <w:t>Green Star Future Focus introduced a Nature category with biodiversity net gain requirements and credits for First Nations involvement.</w:t>
      </w:r>
    </w:p>
    <w:p>
      <w:r>
        <w:t>This roadmap sets time-bound targets across five principles to align new developments with national and international nature-positive goals. Developed with support from GPT Group and assistance from ARUP, Edge Impact, Culture to Country and Positive Futures.</w:t>
      </w:r>
    </w:p>
    <w:p>
      <w:r>
        <w:t>────────────────────────────────────────────────────────────</w:t>
      </w:r>
    </w:p>
    <w:p/>
    <w:p>
      <w:pPr>
        <w:jc w:val="left"/>
      </w:pPr>
      <w:r>
        <w:rPr>
          <w:color w:val="969696"/>
          <w:sz w:val="16"/>
        </w:rPr>
        <w:t>[SECTION 7: id="response" | class="cr-section"]</w:t>
      </w:r>
    </w:p>
    <w:p>
      <w:pPr>
        <w:pStyle w:val="Heading1"/>
      </w:pPr>
      <w:r>
        <w:t>From barriers to principles</w:t>
      </w:r>
    </w:p>
    <w:p>
      <w:r>
        <w:t>The built environment faces deep systemic challenges. This roadmap responds to each with a clear principle for action. Click any item to explore the detail.</w:t>
      </w:r>
    </w:p>
    <w:p>
      <w:pPr>
        <w:pStyle w:val="Heading4"/>
      </w:pPr>
      <w:r>
        <w:t>Weak &amp; Fragmented Regulation</w:t>
      </w:r>
    </w:p>
    <w:p>
      <w:r>
        <w:t>Inconsistent policy and enforcement fail to prevent cumulative nature loss across jurisdictions.</w:t>
      </w:r>
    </w:p>
    <w:p>
      <w:r>
        <w:t>Australia’s environmental regulation is fragmented across federal, state and local jurisdictions. The 2020 Samuel Review found the EPBC Act was not fit for purpose.</w:t>
      </w:r>
    </w:p>
    <w:p>
      <w:pPr>
        <w:pStyle w:val="ListBullet"/>
      </w:pPr>
      <w:r>
        <w:t>Limited compliance monitoring and enforcement</w:t>
      </w:r>
    </w:p>
    <w:p>
      <w:pPr>
        <w:pStyle w:val="ListBullet"/>
      </w:pPr>
      <w:r>
        <w:t>Delays in listing threatened species</w:t>
      </w:r>
    </w:p>
    <w:p>
      <w:pPr>
        <w:pStyle w:val="ListBullet"/>
      </w:pPr>
      <w:r>
        <w:t>Offsetting schemes suffering from poor implementation</w:t>
      </w:r>
    </w:p>
    <w:p>
      <w:pPr>
        <w:pStyle w:val="ListBullet"/>
      </w:pPr>
      <w:r>
        <w:t>EPBC Reform Bills passed in 2025 to establish an independent regulator</w:t>
      </w:r>
    </w:p>
    <w:p>
      <w:pPr>
        <w:pStyle w:val="Heading4"/>
      </w:pPr>
      <w:r>
        <w:t>Prevent Nature Loss</w:t>
      </w:r>
    </w:p>
    <w:p>
      <w:r>
        <w:t>Apply the mitigation hierarchy and protect valuable natural systems onsite, compensating for all residual impacts.</w:t>
      </w:r>
    </w:p>
    <w:p>
      <w:r>
        <w:t>Goes beyond compliance by embedding the mitigation hierarchy directly into project planning and design, ensuring nature values are identified and protected regardless of regulatory gaps.</w:t>
      </w:r>
    </w:p>
    <w:p>
      <w:pPr>
        <w:pStyle w:val="ListBullet"/>
      </w:pPr>
      <w:r>
        <w:t>Early ecological assessment integrated into feasibility</w:t>
      </w:r>
    </w:p>
    <w:p>
      <w:pPr>
        <w:pStyle w:val="ListBullet"/>
      </w:pPr>
      <w:r>
        <w:t>Avoidance-first approach before mitigation or offsetting</w:t>
      </w:r>
    </w:p>
    <w:p>
      <w:pPr>
        <w:pStyle w:val="ListBullet"/>
      </w:pPr>
      <w:r>
        <w:t>Green Star credits for biodiversity net gain commitments</w:t>
      </w:r>
    </w:p>
    <w:p>
      <w:pPr>
        <w:pStyle w:val="ListBullet"/>
      </w:pPr>
      <w:r>
        <w:t>Achieve no net loss of biodiversity by 2030</w:t>
      </w:r>
    </w:p>
    <w:p>
      <w:pPr>
        <w:pStyle w:val="ListBullet"/>
      </w:pPr>
      <w:r>
        <w:t>Aligned with GBF Target 1: effective spatial planning</w:t>
      </w:r>
    </w:p>
    <w:p>
      <w:pPr>
        <w:pStyle w:val="Heading4"/>
      </w:pPr>
      <w:r>
        <w:t>Intensifying Urban Development</w:t>
      </w:r>
    </w:p>
    <w:p>
      <w:r>
        <w:t>Growth locks in permanent ecological loss where nature is treated as a constraint, not an asset.</w:t>
      </w:r>
    </w:p>
    <w:p>
      <w:r>
        <w:t>Australia’s population is expected to reach 33 million by 2050. Growth corridors impact critically endangered communities including Cumberland Plain Woodland and Banksia Woodlands.</w:t>
      </w:r>
    </w:p>
    <w:p>
      <w:pPr>
        <w:pStyle w:val="ListBullet"/>
      </w:pPr>
      <w:r>
        <w:t>Cumberland Plain Woodland — only 6% of original distribution remains</w:t>
      </w:r>
    </w:p>
    <w:p>
      <w:pPr>
        <w:pStyle w:val="ListBullet"/>
      </w:pPr>
      <w:r>
        <w:t>Banksia Woodlands — 60% lost, supports 20+ threatened species</w:t>
      </w:r>
    </w:p>
    <w:p>
      <w:pPr>
        <w:pStyle w:val="ListBullet"/>
      </w:pPr>
      <w:r>
        <w:t>Koala downgraded to Endangered in 2022 due to habitat loss</w:t>
      </w:r>
    </w:p>
    <w:p>
      <w:pPr>
        <w:pStyle w:val="ListBullet"/>
      </w:pPr>
      <w:r>
        <w:t>Australian cities support more threatened species per unit area than non-urban land</w:t>
      </w:r>
    </w:p>
    <w:p>
      <w:pPr>
        <w:pStyle w:val="Heading4"/>
      </w:pPr>
      <w:r>
        <w:t>Increase &amp; Connect Nature</w:t>
      </w:r>
    </w:p>
    <w:p>
      <w:r>
        <w:t>Restore ecosystems and reconnect fragmented habitats to support wildlife movement and ecological integrity.</w:t>
      </w:r>
    </w:p>
    <w:p>
      <w:r>
        <w:t>Transforms development from a threat into an opportunity by requiring projects to actively restore and enhance ecological systems, creating connected green infrastructure.</w:t>
      </w:r>
    </w:p>
    <w:p>
      <w:pPr>
        <w:pStyle w:val="ListBullet"/>
      </w:pPr>
      <w:r>
        <w:t>Deliver measurable biodiversity net gain onsite</w:t>
      </w:r>
    </w:p>
    <w:p>
      <w:pPr>
        <w:pStyle w:val="ListBullet"/>
      </w:pPr>
      <w:r>
        <w:t>Landscape-scale connectivity planning</w:t>
      </w:r>
    </w:p>
    <w:p>
      <w:pPr>
        <w:pStyle w:val="ListBullet"/>
      </w:pPr>
      <w:r>
        <w:t>Urban ecology and biophilic design integration</w:t>
      </w:r>
    </w:p>
    <w:p>
      <w:pPr>
        <w:pStyle w:val="ListBullet"/>
      </w:pPr>
      <w:r>
        <w:t>Design green corridors that link habitat patches</w:t>
      </w:r>
    </w:p>
    <w:p>
      <w:pPr>
        <w:pStyle w:val="ListBullet"/>
      </w:pPr>
      <w:r>
        <w:t>Aligned with GBF Targets 2 and 3: restoration and 30x30</w:t>
      </w:r>
    </w:p>
    <w:p>
      <w:pPr>
        <w:pStyle w:val="Heading4"/>
      </w:pPr>
      <w:r>
        <w:t>Low Circularity &amp; Material Inefficiency</w:t>
      </w:r>
    </w:p>
    <w:p>
      <w:r>
        <w:t>Linear material use drives ongoing extraction, habitat loss and pollution. Australia’s circularity rate is just 4.4%.</w:t>
      </w:r>
    </w:p>
    <w:p>
      <w:r>
        <w:t>The built environment is responsible for over 50% of raw material extraction, 30% of global biodiversity loss, 40% of waste and 40% of global carbon emissions.</w:t>
      </w:r>
    </w:p>
    <w:p>
      <w:pPr>
        <w:pStyle w:val="ListBullet"/>
      </w:pPr>
      <w:r>
        <w:t>Concrete — quarrying causes habitat loss and intensive water use</w:t>
      </w:r>
    </w:p>
    <w:p>
      <w:pPr>
        <w:pStyle w:val="ListBullet"/>
      </w:pPr>
      <w:r>
        <w:t>Steel — open-pit mining removes topsoil and fragments habitat</w:t>
      </w:r>
    </w:p>
    <w:p>
      <w:pPr>
        <w:pStyle w:val="ListBullet"/>
      </w:pPr>
      <w:r>
        <w:t>Timber — soil erosion and habitat fragmentation</w:t>
      </w:r>
    </w:p>
    <w:p>
      <w:pPr>
        <w:pStyle w:val="ListBullet"/>
      </w:pPr>
      <w:r>
        <w:t>Housing and transport contribute 53% of Australia’s materials footprint</w:t>
      </w:r>
    </w:p>
    <w:p>
      <w:pPr>
        <w:pStyle w:val="Heading4"/>
      </w:pPr>
      <w:r>
        <w:t>Drive Circularity</w:t>
      </w:r>
    </w:p>
    <w:p>
      <w:r>
        <w:t>Encourage building reuse and minimise waste and pollution through circular design and procurement.</w:t>
      </w:r>
    </w:p>
    <w:p>
      <w:r>
        <w:t>Tackles upstream nature impacts by reducing the demand for virgin materials through building reuse, modular design, and circular procurement.</w:t>
      </w:r>
    </w:p>
    <w:p>
      <w:pPr>
        <w:pStyle w:val="ListBullet"/>
      </w:pPr>
      <w:r>
        <w:t>Prioritise adaptive reuse of existing buildings</w:t>
      </w:r>
    </w:p>
    <w:p>
      <w:pPr>
        <w:pStyle w:val="ListBullet"/>
      </w:pPr>
      <w:r>
        <w:t>Design for disassembly and material passports</w:t>
      </w:r>
    </w:p>
    <w:p>
      <w:pPr>
        <w:pStyle w:val="ListBullet"/>
      </w:pPr>
      <w:r>
        <w:t>Waste minimisation through circular procurement</w:t>
      </w:r>
    </w:p>
    <w:p>
      <w:pPr>
        <w:pStyle w:val="ListBullet"/>
      </w:pPr>
      <w:r>
        <w:t>Increase use of recycled and reclaimed materials</w:t>
      </w:r>
    </w:p>
    <w:p>
      <w:pPr>
        <w:pStyle w:val="ListBullet"/>
      </w:pPr>
      <w:r>
        <w:t>A circularity rate of 32% is achievable with existing technology</w:t>
      </w:r>
    </w:p>
    <w:p>
      <w:pPr>
        <w:pStyle w:val="Heading4"/>
      </w:pPr>
      <w:r>
        <w:t>Impacts of Resource &amp; Water Use</w:t>
      </w:r>
    </w:p>
    <w:p>
      <w:r>
        <w:t>Rising demand intensifies ecosystem stress and climate vulnerability, particularly in cities.</w:t>
      </w:r>
    </w:p>
    <w:p>
      <w:r>
        <w:t>The built environment accounts for 15% of all freshwater consumption. Up to 38% of a building’s total water use occurs upstream as “embodied water.”</w:t>
      </w:r>
    </w:p>
    <w:p>
      <w:pPr>
        <w:pStyle w:val="ListBullet"/>
      </w:pPr>
      <w:r>
        <w:t>Excessive groundwater extraction reduces availability for ecosystems</w:t>
      </w:r>
    </w:p>
    <w:p>
      <w:pPr>
        <w:pStyle w:val="ListBullet"/>
      </w:pPr>
      <w:r>
        <w:t>Urban runoff carries heavy metals and microplastics</w:t>
      </w:r>
    </w:p>
    <w:p>
      <w:pPr>
        <w:pStyle w:val="ListBullet"/>
      </w:pPr>
      <w:r>
        <w:t>Concrete, steel and timber are water-intensive materials</w:t>
      </w:r>
    </w:p>
    <w:p>
      <w:pPr>
        <w:pStyle w:val="ListBullet"/>
      </w:pPr>
      <w:r>
        <w:t>For First Nations peoples, water is deeply connected to culture and Country</w:t>
      </w:r>
    </w:p>
    <w:p>
      <w:pPr>
        <w:pStyle w:val="Heading4"/>
      </w:pPr>
      <w:r>
        <w:t>Choose Low-Impact Materials</w:t>
      </w:r>
    </w:p>
    <w:p>
      <w:r>
        <w:t>Avoid ecosystem harm from construction supply chains through informed selection and traceability.</w:t>
      </w:r>
    </w:p>
    <w:p>
      <w:r>
        <w:t>Addresses upstream resource impacts by requiring projects to understand, disclose, and reduce the ecological footprint of their material supply chains.</w:t>
      </w:r>
    </w:p>
    <w:p>
      <w:pPr>
        <w:pStyle w:val="ListBullet"/>
      </w:pPr>
      <w:r>
        <w:t>Supply chain due diligence for nature impacts</w:t>
      </w:r>
    </w:p>
    <w:p>
      <w:pPr>
        <w:pStyle w:val="ListBullet"/>
      </w:pPr>
      <w:r>
        <w:t>Material selection criteria incorporating ecological footprint</w:t>
      </w:r>
    </w:p>
    <w:p>
      <w:pPr>
        <w:pStyle w:val="ListBullet"/>
      </w:pPr>
      <w:r>
        <w:t>Deforestation-free sourcing and certified timber</w:t>
      </w:r>
    </w:p>
    <w:p>
      <w:pPr>
        <w:pStyle w:val="ListBullet"/>
      </w:pPr>
      <w:r>
        <w:t>Reduce embodied water through material selection</w:t>
      </w:r>
    </w:p>
    <w:p>
      <w:pPr>
        <w:pStyle w:val="ListBullet"/>
      </w:pPr>
      <w:r>
        <w:t>Aligned with TNFD supply chain disclosure requirements</w:t>
      </w:r>
    </w:p>
    <w:p>
      <w:pPr>
        <w:pStyle w:val="Heading4"/>
      </w:pPr>
      <w:r>
        <w:t>Chronic Underinvestment in Nature</w:t>
      </w:r>
    </w:p>
    <w:p>
      <w:r>
        <w:t>Financial systems reward nature-degrading activity while nature-positive outcomes remain undervalued.</w:t>
      </w:r>
    </w:p>
    <w:p>
      <w:r>
        <w:t>Biodiversity underpins ecosystem services valued at US$44 trillion. Yet US$7 trillion is invested in nature-negative activities globally. Only US$200 billion goes to nature-positive initiatives.</w:t>
      </w:r>
    </w:p>
    <w:p>
      <w:pPr>
        <w:pStyle w:val="ListBullet"/>
      </w:pPr>
      <w:r>
        <w:t>Investment needs to increase to US$700 billion/year for global targets</w:t>
      </w:r>
    </w:p>
    <w:p>
      <w:pPr>
        <w:pStyle w:val="ListBullet"/>
      </w:pPr>
      <w:r>
        <w:t>US$8.1 trillion total required by 2050</w:t>
      </w:r>
    </w:p>
    <w:p>
      <w:pPr>
        <w:pStyle w:val="ListBullet"/>
      </w:pPr>
      <w:r>
        <w:t>Nature-based solutions in cities need to increase from US$200B to US$543B</w:t>
      </w:r>
    </w:p>
    <w:p>
      <w:pPr>
        <w:pStyle w:val="ListBullet"/>
      </w:pPr>
      <w:r>
        <w:t>Land management investments can reduce insurance premiums by 41%</w:t>
      </w:r>
    </w:p>
    <w:p>
      <w:pPr>
        <w:pStyle w:val="Heading4"/>
      </w:pPr>
      <w:r>
        <w:t>Invest in Nature</w:t>
      </w:r>
    </w:p>
    <w:p>
      <w:r>
        <w:t>Embed funding for restoration and regenerative outcomes delivering long-term environmental and economic benefits.</w:t>
      </w:r>
    </w:p>
    <w:p>
      <w:r>
        <w:t>Redirects financial flows by embedding nature funding into project budgets and connecting the built environment to emerging biodiversity markets.</w:t>
      </w:r>
    </w:p>
    <w:p>
      <w:pPr>
        <w:pStyle w:val="ListBullet"/>
      </w:pPr>
      <w:r>
        <w:t>Dedicated nature budgets in project planning</w:t>
      </w:r>
    </w:p>
    <w:p>
      <w:pPr>
        <w:pStyle w:val="ListBullet"/>
      </w:pPr>
      <w:r>
        <w:t>Connection to the Nature Repair Market</w:t>
      </w:r>
    </w:p>
    <w:p>
      <w:pPr>
        <w:pStyle w:val="ListBullet"/>
      </w:pPr>
      <w:r>
        <w:t>Co-investment in landscape-scale restoration</w:t>
      </w:r>
    </w:p>
    <w:p>
      <w:pPr>
        <w:pStyle w:val="ListBullet"/>
      </w:pPr>
      <w:r>
        <w:t>TNFD-aligned reporting on nature-related financial risks</w:t>
      </w:r>
    </w:p>
    <w:p>
      <w:pPr>
        <w:pStyle w:val="ListBullet"/>
      </w:pPr>
      <w:r>
        <w:t>Participate in biodiversity credit and offset markets</w:t>
      </w:r>
    </w:p>
    <w:p>
      <w:pPr>
        <w:pStyle w:val="Heading4"/>
      </w:pPr>
      <w:r>
        <w:t>Gaps in Data, Methods &amp; Metrics</w:t>
      </w:r>
    </w:p>
    <w:p>
      <w:r>
        <w:t>Measuring nature is complex and inconsistent. Without reliable data, the built environment cannot act meaningfully.</w:t>
      </w:r>
    </w:p>
    <w:p>
      <w:r>
        <w:t>Unlike carbon, biodiversity and ecosystem health are harder to quantify. Nature is highly localised, complex, and often qualitative — making standardisation difficult.</w:t>
      </w:r>
    </w:p>
    <w:p>
      <w:pPr>
        <w:pStyle w:val="ListBullet"/>
      </w:pPr>
      <w:r>
        <w:t>Biases towards vertebrates over invertebrates</w:t>
      </w:r>
    </w:p>
    <w:p>
      <w:pPr>
        <w:pStyle w:val="ListBullet"/>
      </w:pPr>
      <w:r>
        <w:t>Limited ability to track changes over time</w:t>
      </w:r>
    </w:p>
    <w:p>
      <w:pPr>
        <w:pStyle w:val="ListBullet"/>
      </w:pPr>
      <w:r>
        <w:t>Ecosystem health is difficult to convert into investable metrics</w:t>
      </w:r>
    </w:p>
    <w:p>
      <w:pPr>
        <w:pStyle w:val="ListBullet"/>
      </w:pPr>
      <w:r>
        <w:t>Outsourcing ecological assessment limits integration</w:t>
      </w:r>
    </w:p>
    <w:p>
      <w:pPr>
        <w:pStyle w:val="Heading4"/>
      </w:pPr>
      <w:r>
        <w:t>Cross-cutting: Data &amp; Measurement</w:t>
      </w:r>
    </w:p>
    <w:p>
      <w:r>
        <w:t>Underpins all five principles — better data, metrics and reporting tools enable meaningful action across every target.</w:t>
      </w:r>
    </w:p>
    <w:p>
      <w:r>
        <w:t>A cross-cutting enabler that supports all five principles by aligning with emerging national and global data platforms and frameworks.</w:t>
      </w:r>
    </w:p>
    <w:p>
      <w:pPr>
        <w:pStyle w:val="ListBullet"/>
      </w:pPr>
      <w:r>
        <w:t>TNFD LEAP framework for consistent due diligence</w:t>
      </w:r>
    </w:p>
    <w:p>
      <w:pPr>
        <w:pStyle w:val="ListBullet"/>
      </w:pPr>
      <w:r>
        <w:t>PLANR for site-specific natural asset snapshots</w:t>
      </w:r>
    </w:p>
    <w:p>
      <w:pPr>
        <w:pStyle w:val="ListBullet"/>
      </w:pPr>
      <w:r>
        <w:t>Australia’s Strategy for Nature: nationally consistent data</w:t>
      </w:r>
    </w:p>
    <w:p>
      <w:pPr>
        <w:pStyle w:val="ListBullet"/>
      </w:pPr>
      <w:r>
        <w:t>Green Star requirements for ecological baseline reporting</w:t>
      </w:r>
    </w:p>
    <w:p>
      <w:pPr>
        <w:pStyle w:val="ListBullet"/>
      </w:pPr>
      <w:r>
        <w:t>Industry capacity building and skills development</w:t>
      </w:r>
    </w:p>
    <w:p>
      <w:r>
        <w:t>────────────────────────────────────────────────────────────</w:t>
      </w:r>
    </w:p>
    <w:p/>
    <w:p>
      <w:pPr>
        <w:jc w:val="left"/>
      </w:pPr>
      <w:r>
        <w:rPr>
          <w:color w:val="969696"/>
          <w:sz w:val="16"/>
        </w:rPr>
        <w:t>[SECTION 8: id="roadmap" | class="irm-hero"]</w:t>
      </w:r>
    </w:p>
    <w:p>
      <w:pPr>
        <w:pStyle w:val="Heading1"/>
      </w:pPr>
      <w:r>
        <w:t>Nature positive targets &amp; pathways</w:t>
      </w:r>
    </w:p>
    <w:p>
      <w:r>
        <w:t>The roadmap sets time-bound, measurable targets across five principles. Click any target to see what needs to happen, what GBCA is doing, and what industry needs to deliver.</w:t>
      </w:r>
    </w:p>
    <w:p>
      <w:r>
        <w:t>Aligned with the Kunming-Montreal Global Biodiversity Framework</w:t>
      </w:r>
    </w:p>
    <w:p>
      <w:r>
        <w:t>────────────────────────────────────────────────────────────</w:t>
      </w:r>
    </w:p>
    <w:p/>
    <w:p>
      <w:pPr>
        <w:jc w:val="left"/>
      </w:pPr>
      <w:r>
        <w:rPr>
          <w:color w:val="969696"/>
          <w:sz w:val="16"/>
        </w:rPr>
        <w:t>[SECTION 9: id="actions" | class="action-net-section"]</w:t>
      </w:r>
    </w:p>
    <w:p>
      <w:pPr>
        <w:pStyle w:val="Heading1"/>
      </w:pPr>
      <w:r>
        <w:t>Actions for success</w:t>
      </w:r>
    </w:p>
    <w:p>
      <w:r>
        <w:t>30 interconnected actions across three phases chart the path to a nature positive built environment. Hover any action to see its full description and trace the dependency chain that connects it to the broader roadmap.</w:t>
      </w:r>
    </w:p>
    <w:p>
      <w:r>
        <w:t>Hover any action to see its full description and dependency chain</w:t>
      </w:r>
    </w:p>
    <w:p>
      <w:r>
        <w:t>────────────────────────────────────────────────────────────</w:t>
      </w:r>
    </w:p>
    <w:p/>
    <w:p>
      <w:pPr>
        <w:jc w:val="left"/>
      </w:pPr>
      <w:r>
        <w:rPr>
          <w:color w:val="969696"/>
          <w:sz w:val="16"/>
        </w:rPr>
        <w:t>[SECTION 10: id="detail"]</w:t>
      </w:r>
    </w:p>
    <w:p>
      <w:pPr>
        <w:pStyle w:val="Heading1"/>
      </w:pPr>
      <w:r>
        <w:t>Prevent nature loss</w:t>
      </w:r>
    </w:p>
    <w:p>
      <w:r>
        <w:t>Once lost, biodiversity is costly or impossible to restore. This principle sets a pathway from today's planning controls to full protection of valuable natural systems onsite by 2050.</w:t>
      </w:r>
    </w:p>
    <w:p>
      <w:pPr>
        <w:pStyle w:val="Heading4"/>
      </w:pPr>
      <w:r>
        <w:t>Case Study</w:t>
      </w:r>
    </w:p>
    <w:p>
      <w:r>
        <w:t>The Netherlands' "No Net Loss" Planning Policy: Under the Dutch Nature Conservation Act, developments impacting protected species must follow a strict mitigation hierarchy: avoid, minimise, and compensate with measurable outcomes integrated into spatial planning and permitting.</w:t>
      </w:r>
    </w:p>
    <w:p>
      <w:r>
        <w:t>Alkimos Beach, WA (6 Star Green Star Communities Pilot v.01)</w:t>
      </w:r>
    </w:p>
    <w:p>
      <w:r>
        <w:t>Naarm 5 Star Green Star Design &amp; As-Built</w:t>
      </w:r>
    </w:p>
    <w:p>
      <w:pPr>
        <w:pStyle w:val="Heading3"/>
      </w:pPr>
      <w:r>
        <w:t>Increase &amp; connect nature</w:t>
      </w:r>
    </w:p>
    <w:p>
      <w:r>
        <w:t>Place-based developments that consider and respond to local environmental and cultural contexts are an important part of regenerating nature. Biodiversity Net Gain is a key tool for informing design and demonstrating outcomes.</w:t>
      </w:r>
    </w:p>
    <w:p>
      <w:pPr>
        <w:pStyle w:val="Heading4"/>
      </w:pPr>
      <w:r>
        <w:t>Case Study</w:t>
      </w:r>
    </w:p>
    <w:p>
      <w:r>
        <w:t>UK Biodiversity Net Gain (Environment Act 2021): In England, all major developments must deliver at least 10% measurable biodiversity net gain from 2024, secured for a minimum of 30 years. This drives innovation in habitat creation, ecological design, and green infrastructure integration.</w:t>
      </w:r>
    </w:p>
    <w:p>
      <w:pPr>
        <w:pStyle w:val="Heading3"/>
      </w:pPr>
      <w:r>
        <w:t>Drive circularity</w:t>
      </w:r>
    </w:p>
    <w:p>
      <w:r>
        <w:t>The built environment is responsible for over 50% of raw material extraction and a third of total waste. A circular economy is essential to transition towards a nature positive economy.</w:t>
      </w:r>
    </w:p>
    <w:p>
      <w:pPr>
        <w:pStyle w:val="Heading4"/>
      </w:pPr>
      <w:r>
        <w:t>Case Study</w:t>
      </w:r>
    </w:p>
    <w:p>
      <w:r>
        <w:t>Finland's Circular Economy Roadmap: The first national circular economy strategy includes requirements for lifecycle carbon and circularity assessments for planning approvals, investment in digital platforms to track materials across buildings, and has created new business models in reuse and repair.</w:t>
      </w:r>
    </w:p>
    <w:p>
      <w:r>
        <w:t>The Quay 4 Star Multi Unit Residential Design</w:t>
      </w:r>
    </w:p>
    <w:p>
      <w:r>
        <w:t>The Exchange 4 Star Green Star Performance v1.1</w:t>
      </w:r>
    </w:p>
    <w:p>
      <w:pPr>
        <w:pStyle w:val="Heading3"/>
      </w:pPr>
      <w:r>
        <w:t>Choose low-impact materials</w:t>
      </w:r>
    </w:p>
    <w:p>
      <w:r>
        <w:t>Construction materials are some of the most resource-intensive products globally. Their extraction drives deforestation, water stress, pollution, and biodiversity loss. Choosing low-impact materials sends market signals that reward sustainable supply chains.</w:t>
      </w:r>
    </w:p>
    <w:p>
      <w:pPr>
        <w:pStyle w:val="Heading3"/>
      </w:pPr>
      <w:r>
        <w:t>Invest in nature</w:t>
      </w:r>
    </w:p>
    <w:p>
      <w:r>
        <w:t>Investing in nature restoration is vital to ensure healthy ecosystems, societies, and economies. It supports climate goals and fosters economic opportunities for Indigenous communities.</w:t>
      </w:r>
    </w:p>
    <w:p>
      <w:pPr>
        <w:pStyle w:val="Heading4"/>
      </w:pPr>
      <w:r>
        <w:t>Case Study</w:t>
      </w:r>
    </w:p>
    <w:p>
      <w:r>
        <w:t>Operation Crayweed (Investa): Investa partnered with the Sydney Institute of Marine Science to restore crayweed along 70km of Sydney's foreshores. Crayweed supports fisheries, captures carbon, and maintains water quality. The project develops natural capital accounting methodologies while facilitating staff engagement through volunteering.</w:t>
      </w:r>
    </w:p>
    <w:p>
      <w:r>
        <w:t>Burwood Brickworks 6 Stars Green Star Communities v1</w:t>
      </w:r>
    </w:p>
    <w:p>
      <w:r>
        <w:t>────────────────────────────────────────────────────────────</w:t>
      </w:r>
    </w:p>
    <w:p/>
    <w:p>
      <w:pPr>
        <w:jc w:val="left"/>
      </w:pPr>
      <w:r>
        <w:rPr>
          <w:color w:val="969696"/>
          <w:sz w:val="16"/>
        </w:rPr>
        <w:t>[SECTION 11: id="enablers" | class="enablers-section"]</w:t>
      </w:r>
    </w:p>
    <w:p>
      <w:pPr>
        <w:pStyle w:val="Heading1"/>
      </w:pPr>
      <w:r>
        <w:t>System-wide enablers</w:t>
      </w:r>
    </w:p>
    <w:p>
      <w:r>
        <w:t>These enablers address the system gaps that limit progress and support the consistent application of the principles.</w:t>
      </w:r>
    </w:p>
    <w:p>
      <w:pPr>
        <w:pStyle w:val="Heading3"/>
      </w:pPr>
      <w:r>
        <w:t>Embed Culture, Community &amp; Connection to Country</w:t>
      </w:r>
    </w:p>
    <w:p>
      <w:r>
        <w:t>Nature-positive outcomes are strengthened when development is grounded in Country and shaped through genuine partnership with Aboriginal and Torres Strait Islander peoples.</w:t>
      </w:r>
    </w:p>
    <w:p>
      <w:r>
        <w:t>Connection to Country is integrated across all principles and actions, rather than addressed through standalone targets. Long-term success depends on recognising First Nations leadership, values and knowledge across planning, design and delivery.</w:t>
      </w:r>
    </w:p>
    <w:p>
      <w:pPr>
        <w:pStyle w:val="Heading3"/>
      </w:pPr>
      <w:r>
        <w:t>Improve Measurement, Data &amp; Decision-Making</w:t>
      </w:r>
    </w:p>
    <w:p>
      <w:r>
        <w:t>Nature-positive outcomes are enabled through robust ecological data, consistent metrics and integrated decision-making across the built environment.</w:t>
      </w:r>
    </w:p>
    <w:p>
      <w:r>
        <w:t>Strengthening ecological literacy and reporting supports earlier action, clearer accountability and the integration of nature into everyday planning, design and procurement decisions.</w:t>
      </w:r>
    </w:p>
    <w:p>
      <w:r>
        <w:t>────────────────────────────────────────────────────────────</w:t>
      </w:r>
    </w:p>
    <w:p/>
    <w:p>
      <w:pPr>
        <w:jc w:val="left"/>
      </w:pPr>
      <w:r>
        <w:rPr>
          <w:color w:val="969696"/>
          <w:sz w:val="16"/>
        </w:rPr>
        <w:t>[SECTION 12: id="casestudies" | class="case-carousel-section"]</w:t>
      </w:r>
    </w:p>
    <w:p>
      <w:pPr>
        <w:pStyle w:val="Heading1"/>
      </w:pPr>
      <w:r>
        <w:t>Nature positive in practice</w:t>
      </w:r>
    </w:p>
    <w:p>
      <w:r>
        <w:t>Leading Australian projects demonstrating how the built environment can protect, restore and enhance nature.</w:t>
      </w:r>
    </w:p>
    <w:p>
      <w:pPr>
        <w:pStyle w:val="Heading4"/>
      </w:pPr>
      <w:r>
        <w:t>Ginninderry</w:t>
      </w:r>
    </w:p>
    <w:p>
      <w:r>
        <w:t>A 1,600-hectare development on the ACT/NSW border integrating conservation corridors, woodland restoration, and Indigenous cultural values into a master-planned community.</w:t>
      </w:r>
    </w:p>
    <w:p>
      <w:pPr>
        <w:pStyle w:val="Heading4"/>
      </w:pPr>
      <w:r>
        <w:t>Alkimos Beach</w:t>
      </w:r>
    </w:p>
    <w:p>
      <w:r>
        <w:t>A coastal development demonstrating nature-sensitive design by protecting and enhancing native vegetation, fauna corridors, and wetland systems alongside residential communities.</w:t>
      </w:r>
    </w:p>
    <w:p>
      <w:pPr>
        <w:pStyle w:val="Heading4"/>
      </w:pPr>
      <w:r>
        <w:t>Quay Quarter Tower</w:t>
      </w:r>
    </w:p>
    <w:p>
      <w:r>
        <w:t>Adaptive reuse of an existing tower, retaining 65% of the original structure and significantly reducing embodied carbon and material waste through innovative circular design.</w:t>
      </w:r>
    </w:p>
    <w:p>
      <w:pPr>
        <w:pStyle w:val="Heading4"/>
      </w:pPr>
      <w:r>
        <w:t>80 Ann St</w:t>
      </w:r>
    </w:p>
    <w:p>
      <w:r>
        <w:t>An office tower integrating biophilic design, green terraces and nature-based solutions into its facade and public realm, achieving a 6 Star Green Star rating.</w:t>
      </w:r>
    </w:p>
    <w:p>
      <w:pPr>
        <w:pStyle w:val="Heading4"/>
      </w:pPr>
      <w:r>
        <w:t>The Exchange</w:t>
      </w:r>
    </w:p>
    <w:p>
      <w:r>
        <w:t>Designed by Kengo Kuma, this civic building features a timber-and-glass facade using sustainably sourced materials, embodying low-impact design principles.</w:t>
      </w:r>
    </w:p>
    <w:p>
      <w:pPr>
        <w:pStyle w:val="Heading4"/>
      </w:pPr>
      <w:r>
        <w:t>Burwood Brickworks</w:t>
      </w:r>
    </w:p>
    <w:p>
      <w:r>
        <w:t>Achieved Living Building Challenge certification, featuring rooftop urban farming, solar power, water recycling and integrated urban ecology.</w:t>
      </w:r>
    </w:p>
    <w:p>
      <w:pPr>
        <w:pStyle w:val="Heading4"/>
      </w:pPr>
      <w:r>
        <w:t>Operation Crayweed</w:t>
      </w:r>
    </w:p>
    <w:p>
      <w:r>
        <w:t>Restoring crayweed along 70km of Sydney’s foreshores. Crayweed supports fisheries, captures carbon, and maintains water quality while developing natural capital accounting methodologies.</w:t>
      </w:r>
    </w:p>
    <w:p>
      <w:r>
        <w:t>────────────────────────────────────────────────────────────</w:t>
      </w:r>
    </w:p>
    <w:p/>
    <w:p>
      <w:pPr>
        <w:jc w:val="left"/>
      </w:pPr>
      <w:r>
        <w:rPr>
          <w:color w:val="969696"/>
          <w:sz w:val="16"/>
        </w:rPr>
        <w:t>[SECTION 13: id="tnfd" | class="tnfd-section"]</w:t>
      </w:r>
    </w:p>
    <w:p>
      <w:pPr>
        <w:pStyle w:val="Heading1"/>
      </w:pPr>
      <w:r>
        <w:t>How to use the roadmap for TNFD reporting</w:t>
      </w:r>
    </w:p>
    <w:p>
      <w:r>
        <w:t>The roadmap aligns with the Taskforce on Nature-related Financial Disclosures (TNFD) LEAP framework. Follow these six steps to integrate nature-related disclosure into your projects.</w:t>
      </w:r>
    </w:p>
    <w:p>
      <w:pPr>
        <w:pStyle w:val="Heading4"/>
      </w:pPr>
      <w:r>
        <w:t>Review your interface with nature</w:t>
      </w:r>
    </w:p>
    <w:p>
      <w:r>
        <w:t>Map current practice against the roadmap. Identify areas of high-value biodiversity and nature-related impacts in your supply chain.</w:t>
      </w:r>
    </w:p>
    <w:p>
      <w:pPr>
        <w:pStyle w:val="Heading4"/>
      </w:pPr>
      <w:r>
        <w:t>Prepare a nature positive plan</w:t>
      </w:r>
    </w:p>
    <w:p>
      <w:r>
        <w:t>Develop detailed understanding using one site or project. Use a biodiversity net gain tool to measure biodiversity prior to development.</w:t>
      </w:r>
    </w:p>
    <w:p>
      <w:pPr>
        <w:pStyle w:val="Heading4"/>
      </w:pPr>
      <w:r>
        <w:t>Engage with stakeholders</w:t>
      </w:r>
    </w:p>
    <w:p>
      <w:r>
        <w:t>First Nations engagement is paramount. Incorporate community participation and engage with suppliers on their nature-related impacts.</w:t>
      </w:r>
    </w:p>
    <w:p>
      <w:pPr>
        <w:pStyle w:val="Heading4"/>
      </w:pPr>
      <w:r>
        <w:t>Embed targets and actions</w:t>
      </w:r>
    </w:p>
    <w:p>
      <w:r>
        <w:t>Incorporate into designs and operational plans. Establish measurement methods to evaluate effectiveness.</w:t>
      </w:r>
    </w:p>
    <w:p>
      <w:pPr>
        <w:pStyle w:val="Heading4"/>
      </w:pPr>
      <w:r>
        <w:t>Implement</w:t>
      </w:r>
    </w:p>
    <w:p>
      <w:r>
        <w:t>Work with stakeholders to implement the plan across design, construction, and operations.</w:t>
      </w:r>
    </w:p>
    <w:p>
      <w:pPr>
        <w:pStyle w:val="Heading4"/>
      </w:pPr>
      <w:r>
        <w:t>Monitor and report</w:t>
      </w:r>
    </w:p>
    <w:p>
      <w:r>
        <w:t>Report on performance against the plan and lessons learnt. Refine approach based on outcomes and emerging best practice.</w:t>
      </w:r>
    </w:p>
    <w:p>
      <w:r>
        <w:t>────────────────────────────────────────────────────────────</w:t>
      </w:r>
    </w:p>
    <w:p/>
    <w:p>
      <w:pPr>
        <w:jc w:val="left"/>
      </w:pPr>
      <w:r>
        <w:rPr>
          <w:color w:val="969696"/>
          <w:sz w:val="16"/>
        </w:rPr>
        <w:t>[SECTION 14: id="greenstar" | class="greenstar-section"]</w:t>
      </w:r>
    </w:p>
    <w:p>
      <w:pPr>
        <w:pStyle w:val="Heading1"/>
      </w:pPr>
      <w:r>
        <w:t>Green Star's nature positive pathway</w:t>
      </w:r>
    </w:p>
    <w:p>
      <w:r>
        <w:t>Green Star provides a common framework for standards and assurance pathways to include nature in new developments.</w:t>
      </w:r>
    </w:p>
    <w:p>
      <w:pPr>
        <w:pStyle w:val="Heading3"/>
      </w:pPr>
      <w:r>
        <w:t>Green Star Buildings</w:t>
      </w:r>
    </w:p>
    <w:p>
      <w:pPr>
        <w:pStyle w:val="ListBullet"/>
      </w:pPr>
      <w:r>
        <w:t>Five credits in the Nature category plus responsible materials credits</w:t>
      </w:r>
    </w:p>
    <w:p>
      <w:pPr>
        <w:pStyle w:val="ListBullet"/>
      </w:pPr>
      <w:r>
        <w:t>New credit recognising First Nations involvement</w:t>
      </w:r>
    </w:p>
    <w:p>
      <w:pPr>
        <w:pStyle w:val="ListBullet"/>
      </w:pPr>
      <w:r>
        <w:t>6 Star: Must achieve 10% biodiversity net gain</w:t>
      </w:r>
    </w:p>
    <w:p>
      <w:pPr>
        <w:pStyle w:val="ListBullet"/>
      </w:pPr>
      <w:r>
        <w:t>From 2028: 10% net gain applies to 5 Star</w:t>
      </w:r>
    </w:p>
    <w:p>
      <w:pPr>
        <w:pStyle w:val="ListBullet"/>
      </w:pPr>
      <w:r>
        <w:t>From 2030: Applies to all 4 Star and above</w:t>
      </w:r>
    </w:p>
    <w:p>
      <w:pPr>
        <w:pStyle w:val="ListBullet"/>
      </w:pPr>
      <w:r>
        <w:t>New 'Circularity' credit to quantify and improve circularity rate</w:t>
      </w:r>
    </w:p>
    <w:p>
      <w:pPr>
        <w:pStyle w:val="Heading3"/>
      </w:pPr>
      <w:r>
        <w:t>Green Star Communities v2</w:t>
      </w:r>
    </w:p>
    <w:p>
      <w:pPr>
        <w:pStyle w:val="ListBullet"/>
      </w:pPr>
      <w:r>
        <w:t>Seven new nature-related credits</w:t>
      </w:r>
    </w:p>
    <w:p>
      <w:pPr>
        <w:pStyle w:val="ListBullet"/>
      </w:pPr>
      <w:r>
        <w:t>Requirements for upfront carbon reductions and low-impact materials</w:t>
      </w:r>
    </w:p>
    <w:p>
      <w:pPr>
        <w:pStyle w:val="ListBullet"/>
      </w:pPr>
      <w:r>
        <w:t>Credits that embed First Nations cultural leadership</w:t>
      </w:r>
    </w:p>
    <w:p>
      <w:pPr>
        <w:pStyle w:val="ListBullet"/>
      </w:pPr>
      <w:r>
        <w:t>From 2027: 6 Star projects need significant BNG; 5 Star: no net loss</w:t>
      </w:r>
    </w:p>
    <w:p>
      <w:pPr>
        <w:pStyle w:val="ListBullet"/>
      </w:pPr>
      <w:r>
        <w:t>From 2030: 5 Star: 10% net gain; 4 Star: no net loss</w:t>
      </w:r>
    </w:p>
    <w:p>
      <w:pPr>
        <w:pStyle w:val="ListBullet"/>
      </w:pPr>
      <w:r>
        <w:t>From 2033: All projects: at least 10% net gain</w:t>
      </w:r>
    </w:p>
    <w:p>
      <w:pPr>
        <w:pStyle w:val="Heading3"/>
      </w:pPr>
      <w:r>
        <w:t>Green Star Fitouts</w:t>
      </w:r>
    </w:p>
    <w:p>
      <w:pPr>
        <w:pStyle w:val="ListBullet"/>
      </w:pPr>
      <w:r>
        <w:t>New Circular category responding to significant waste from fitout churn</w:t>
      </w:r>
    </w:p>
    <w:p>
      <w:pPr>
        <w:pStyle w:val="ListBullet"/>
      </w:pPr>
      <w:r>
        <w:t>Encourages reduction of waste and better design solutions</w:t>
      </w:r>
    </w:p>
    <w:p>
      <w:pPr>
        <w:pStyle w:val="ListBullet"/>
      </w:pPr>
      <w:r>
        <w:t>Drives longer-life fitouts through improved design and material selection</w:t>
      </w:r>
    </w:p>
    <w:p>
      <w:pPr>
        <w:pStyle w:val="Heading3"/>
      </w:pPr>
      <w:r>
        <w:t>Responsible Products Framework</w:t>
      </w:r>
    </w:p>
    <w:p>
      <w:pPr>
        <w:pStyle w:val="ListBullet"/>
      </w:pPr>
      <w:r>
        <w:t>Version B introduces new nature-related and circular-related criteria</w:t>
      </w:r>
    </w:p>
    <w:p>
      <w:pPr>
        <w:pStyle w:val="ListBullet"/>
      </w:pPr>
      <w:r>
        <w:t>Defines qualities that products assessed by independent initiatives must comply with</w:t>
      </w:r>
    </w:p>
    <w:p>
      <w:pPr>
        <w:pStyle w:val="ListBullet"/>
      </w:pPr>
      <w:r>
        <w:t>Expected release: Q3 2026, with transition expected by 2028</w:t>
      </w:r>
    </w:p>
    <w:p>
      <w:r>
        <w:t>────────────────────────────────────────────────────────────</w:t>
      </w:r>
    </w:p>
    <w:p/>
    <w:p>
      <w:pPr>
        <w:jc w:val="left"/>
      </w:pPr>
      <w:r>
        <w:rPr>
          <w:color w:val="969696"/>
          <w:sz w:val="16"/>
        </w:rPr>
        <w:t>[SECTION 15: class="gbca-role-section"]</w:t>
      </w:r>
    </w:p>
    <w:p>
      <w:pPr>
        <w:pStyle w:val="Heading1"/>
      </w:pPr>
      <w:r>
        <w:t>Delivering nature positive outcomes</w:t>
      </w:r>
    </w:p>
    <w:p>
      <w:r>
        <w:t>GBCA will lead the sustainable transformation through four strategic pillars.</w:t>
      </w:r>
    </w:p>
    <w:p>
      <w:pPr>
        <w:pStyle w:val="Heading4"/>
      </w:pPr>
      <w:r>
        <w:t>Advocate</w:t>
      </w:r>
    </w:p>
    <w:p>
      <w:r>
        <w:t>Work with all tiers of government for nature protection standards, alignment of planning laws, circular economy requirements, and biodiversity net gain in planning.</w:t>
      </w:r>
    </w:p>
    <w:p>
      <w:pPr>
        <w:pStyle w:val="Heading4"/>
      </w:pPr>
      <w:r>
        <w:t>Collaborate</w:t>
      </w:r>
    </w:p>
    <w:p>
      <w:r>
        <w:t>Partner with stakeholders across the value chain to facilitate partnerships, champion supply chain innovation, and promote nature stewardship investments.</w:t>
      </w:r>
    </w:p>
    <w:p>
      <w:pPr>
        <w:pStyle w:val="Heading4"/>
      </w:pPr>
      <w:r>
        <w:t>Educate</w:t>
      </w:r>
    </w:p>
    <w:p>
      <w:r>
        <w:t>Build knowledge and capacity through training, guides and tools to assist in measuring and reporting on nature-related impacts and achievements.</w:t>
      </w:r>
    </w:p>
    <w:p>
      <w:pPr>
        <w:pStyle w:val="Heading4"/>
      </w:pPr>
      <w:r>
        <w:t>Rate</w:t>
      </w:r>
    </w:p>
    <w:p>
      <w:r>
        <w:t>Use Green Star as a common framework for standards and assurance pathways. Update targets as the roadmap evolves over time.</w:t>
      </w:r>
    </w:p>
    <w:p>
      <w:r>
        <w:t>────────────────────────────────────────────────────────────</w:t>
      </w:r>
    </w:p>
    <w:p/>
    <w:p>
      <w:pPr>
        <w:jc w:val="left"/>
      </w:pPr>
      <w:r>
        <w:rPr>
          <w:color w:val="969696"/>
          <w:sz w:val="16"/>
        </w:rPr>
        <w:t>[SECTION 16: id="action"]</w:t>
      </w:r>
    </w:p>
    <w:p>
      <w:pPr>
        <w:pStyle w:val="Heading1"/>
      </w:pPr>
      <w:r>
        <w:t>Your role in a nature positive built environment</w:t>
      </w:r>
    </w:p>
    <w:p>
      <w:r>
        <w:t>From investment and governance through to planning, design, delivery and long-term ownership, decisions at every stage influence nature outcomes.</w:t>
      </w:r>
    </w:p>
    <w:p>
      <w:pPr>
        <w:pStyle w:val="Heading3"/>
      </w:pPr>
      <w:r>
        <w:t>Now – 2030</w:t>
      </w:r>
    </w:p>
    <w:p>
      <w:r>
        <w:t>Put in place planning policies that stop zoning of previously undeveloped land. Introduce biodiversity net gain requirements. Promote higher density, urban infill and regeneration.</w:t>
      </w:r>
    </w:p>
    <w:p>
      <w:pPr>
        <w:pStyle w:val="Heading3"/>
      </w:pPr>
      <w:r>
        <w:t>2030 – 2040</w:t>
      </w:r>
    </w:p>
    <w:p>
      <w:r>
        <w:t>Land use zoning avoids high and moderate value biodiversity. Density limits increased to limit urban growth in undeveloped areas.</w:t>
      </w:r>
    </w:p>
    <w:p>
      <w:pPr>
        <w:pStyle w:val="Heading3"/>
      </w:pPr>
      <w:r>
        <w:t>By 2050</w:t>
      </w:r>
    </w:p>
    <w:p>
      <w:r>
        <w:t>Implement nature reforms for better protection with greater clarity. Invest in low-impact and circular product manufacturing. Expand Nature Repair Market.</w:t>
      </w:r>
    </w:p>
    <w:p>
      <w:pPr>
        <w:pStyle w:val="Heading3"/>
      </w:pPr>
      <w:r>
        <w:t>Now – 2030</w:t>
      </w:r>
    </w:p>
    <w:p>
      <w:r>
        <w:t>Protect high value ecosystems. Procure lower-impact materials. Integrate 'Design with Country'. Measure and report on circularity. Design to increase nature onsite.</w:t>
      </w:r>
    </w:p>
    <w:p>
      <w:pPr>
        <w:pStyle w:val="Heading3"/>
      </w:pPr>
      <w:r>
        <w:t>2030 – 2040</w:t>
      </w:r>
    </w:p>
    <w:p>
      <w:r>
        <w:t>Reuse and refurbish existing assets. Develop only on sites with low biodiversity value. Construction activities are nature positive and improve site biodiversity.</w:t>
      </w:r>
    </w:p>
    <w:p>
      <w:pPr>
        <w:pStyle w:val="Heading3"/>
      </w:pPr>
      <w:r>
        <w:t>By 2050</w:t>
      </w:r>
    </w:p>
    <w:p>
      <w:r>
        <w:t>Procure materials with no net negative nature impacts. Compensate for all direct and supply chain impacts. Co-design with community.</w:t>
      </w:r>
    </w:p>
    <w:p>
      <w:pPr>
        <w:pStyle w:val="Heading3"/>
      </w:pPr>
      <w:r>
        <w:t>Now – 2030</w:t>
      </w:r>
    </w:p>
    <w:p>
      <w:r>
        <w:t>Review and transparently disclose nature impacts. Develop and implement nature positive plans. Increase circularity in manufacturing.</w:t>
      </w:r>
    </w:p>
    <w:p>
      <w:pPr>
        <w:pStyle w:val="Heading3"/>
      </w:pPr>
      <w:r>
        <w:t>2030 – 2040</w:t>
      </w:r>
    </w:p>
    <w:p>
      <w:r>
        <w:t>Set nature positive targets. Compensate for impacts. Avoid impacts to high value species and ecosystems. Increase circular manufacturing.</w:t>
      </w:r>
    </w:p>
    <w:p>
      <w:pPr>
        <w:pStyle w:val="Heading3"/>
      </w:pPr>
      <w:r>
        <w:t>By 2050</w:t>
      </w:r>
    </w:p>
    <w:p>
      <w:r>
        <w:t>Compensate for all nature impacts and publicly report. Increase traceability and disclose raw material origins. Work with communities for local sourcing.</w:t>
      </w:r>
    </w:p>
    <w:p>
      <w:pPr>
        <w:pStyle w:val="Heading3"/>
      </w:pPr>
      <w:r>
        <w:t>Now – 2030</w:t>
      </w:r>
    </w:p>
    <w:p>
      <w:r>
        <w:t>Identify and map nature-related risks, dependencies and opportunities. Build internal capacity for nature-related assessment.</w:t>
      </w:r>
    </w:p>
    <w:p>
      <w:pPr>
        <w:pStyle w:val="Heading3"/>
      </w:pPr>
      <w:r>
        <w:t>2030 – 2040</w:t>
      </w:r>
    </w:p>
    <w:p>
      <w:r>
        <w:t>Develop policies and strategy to transition away from nature-negative investments. Engage with businesses that have high nature-related risks.</w:t>
      </w:r>
    </w:p>
    <w:p>
      <w:pPr>
        <w:pStyle w:val="Heading3"/>
      </w:pPr>
      <w:r>
        <w:t>By 2050</w:t>
      </w:r>
    </w:p>
    <w:p>
      <w:r>
        <w:t>Report and disclose implemented actions and progress towards targets. Fully integrate nature-positive criteria into all investment decisions.</w:t>
      </w:r>
    </w:p>
    <w:p>
      <w:r>
        <w:t>────────────────────────────────────────────────────────────</w:t>
      </w:r>
    </w:p>
    <w:p/>
    <w:p>
      <w:pPr>
        <w:jc w:val="left"/>
      </w:pPr>
      <w:r>
        <w:rPr>
          <w:color w:val="969696"/>
          <w:sz w:val="16"/>
        </w:rPr>
        <w:t>[SECTION 17: class="quote-block"]</w:t>
      </w:r>
    </w:p>
    <w:p>
      <w:pPr>
        <w:jc w:val="center"/>
      </w:pPr>
      <w:r>
        <w:rPr>
          <w:i/>
        </w:rPr>
        <w:t>""Nature is being lost at a scale and speed unprecedented in human history. The choices made now will determine whether future places continue to drive nature loss or actively contribute to nature's recovery.""</w:t>
      </w:r>
    </w:p>
    <w:p>
      <w:pPr>
        <w:jc w:val="center"/>
      </w:pPr>
      <w:r>
        <w:t>— Nature Positive Roadmap for New Developments, GBCA</w:t>
      </w:r>
    </w:p>
    <w:p>
      <w:r>
        <w:t>────────────────────────────────────────────────────────────</w:t>
      </w:r>
    </w:p>
    <w:p/>
    <w:p>
      <w:pPr>
        <w:jc w:val="left"/>
      </w:pPr>
      <w:r>
        <w:rPr>
          <w:color w:val="969696"/>
          <w:sz w:val="16"/>
        </w:rPr>
        <w:t>[SECTION 18: &lt;footer&gt;]</w:t>
      </w:r>
    </w:p>
    <w:p>
      <w:pPr>
        <w:pStyle w:val="Heading1"/>
      </w:pPr>
      <w:r>
        <w:t>Nature positive roadmap</w:t>
      </w:r>
    </w:p>
    <w:p>
      <w:r>
        <w:t>Developed by the Green Building Council of Australia with support from the members of the Nature Roadmap Advisory Panel and contributing organisations Arup, Edge, Deloitte, Culture to Country Roger Swinbourne, The GPT Group and Engineers Australia.</w:t>
      </w:r>
    </w:p>
    <w:p>
      <w:pPr>
        <w:pStyle w:val="Heading4"/>
      </w:pPr>
      <w:r>
        <w:t>Sections</w:t>
      </w:r>
    </w:p>
    <w:p>
      <w:r>
        <w:t>© Green Building Council of Australia www.gbca.au</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