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45F06" w:sz="12" w:space="4"/>
        </w:pBdr>
        <w:spacing w:after="40"/>
      </w:pPr>
      <w:r>
        <w:rPr>
          <w:b/>
          <w:bCs/>
          <w:color w:val="B45F06"/>
          <w:spacing w:val="30"/>
          <w:sz w:val="22"/>
          <w:szCs w:val="22"/>
        </w:rPr>
        <w:t xml:space="preserve">TLP:CLEAR  —  THREAT INTELLIGENCE</w:t>
      </w:r>
    </w:p>
    <w:p>
      <w:pPr>
        <w:spacing w:before="800"/>
      </w:pPr>
    </w:p>
    <w:p>
      <w:pPr>
        <w:spacing w:after="100"/>
        <w:jc w:val="center"/>
      </w:pPr>
      <w:r>
        <w:rPr>
          <w:b/>
          <w:bCs/>
          <w:color w:val="1F3864"/>
          <w:sz w:val="52"/>
          <w:szCs w:val="52"/>
        </w:rPr>
        <w:t xml:space="preserve">Threat Intelligence Report</w:t>
      </w:r>
    </w:p>
    <w:p>
      <w:pPr>
        <w:spacing w:after="40"/>
        <w:jc w:val="center"/>
      </w:pPr>
      <w:r>
        <w:rPr>
          <w:b/>
          <w:bCs/>
          <w:color w:val="2E74B5"/>
          <w:sz w:val="34"/>
          <w:szCs w:val="34"/>
        </w:rPr>
        <w:t xml:space="preserve">Ghost (Cring) Ransomware</w:t>
      </w:r>
    </w:p>
    <w:p>
      <w:pPr>
        <w:spacing w:after="600"/>
        <w:jc w:val="center"/>
      </w:pPr>
      <w:r>
        <w:rPr>
          <w:i/>
          <w:iCs/>
          <w:color w:val="595959"/>
          <w:sz w:val="24"/>
          <w:szCs w:val="24"/>
        </w:rPr>
        <w:t xml:space="preserve">TTP Analysis, IOCs, and Atomic Red Team Simulation Plan</w:t>
      </w:r>
    </w:p>
    <w:tbl>
      <w:tblPr>
        <w:tblW w:type="dxa" w:w="9200"/>
        <w:jc w:val="center"/>
        <w:tblBorders>
          <w:top w:val="single" w:color="D9E2F3" w:sz="4"/>
          <w:left w:val="none"/>
          <w:bottom w:val="single" w:color="D9E2F3" w:sz="4"/>
          <w:right w:val="none"/>
          <w:insideH w:val="single" w:color="D9E2F3" w:sz="4"/>
          <w:insideV w:val="none"/>
        </w:tblBorders>
      </w:tblPr>
      <w:tblGrid>
        <w:gridCol w:w="2900"/>
        <w:gridCol w:w="6300"/>
      </w:tblGrid>
      <w:tr>
        <w:tc>
          <w:tcPr>
            <w:tcW w:type="dxa" w:w="2900"/>
            <w:tcMar>
              <w:top w:type="dxa" w:w="60"/>
              <w:left w:type="dxa" w:w="100"/>
              <w:bottom w:type="dxa" w:w="60"/>
            </w:tcMar>
          </w:tcPr>
          <w:p>
            <w:r>
              <w:rPr>
                <w:b/>
                <w:bCs/>
                <w:color w:val="1F3864"/>
                <w:sz w:val="21"/>
                <w:szCs w:val="21"/>
              </w:rPr>
              <w:t xml:space="preserve">Source Advisory</w:t>
            </w:r>
          </w:p>
        </w:tc>
        <w:tc>
          <w:tcPr>
            <w:tcW w:type="dxa" w:w="6300"/>
            <w:tcMar>
              <w:top w:type="dxa" w:w="60"/>
              <w:left w:type="dxa" w:w="100"/>
              <w:bottom w:type="dxa" w:w="60"/>
            </w:tcMar>
          </w:tcPr>
          <w:p>
            <w:r>
              <w:rPr>
                <w:sz w:val="21"/>
                <w:szCs w:val="21"/>
              </w:rPr>
              <w:t xml:space="preserve">CISA / FBI / MS-ISAC Joint Advisory AA25-050A</w:t>
            </w:r>
          </w:p>
        </w:tc>
      </w:tr>
      <w:tr>
        <w:tc>
          <w:tcPr>
            <w:tcW w:type="dxa" w:w="2900"/>
            <w:tcMar>
              <w:top w:type="dxa" w:w="60"/>
              <w:left w:type="dxa" w:w="100"/>
              <w:bottom w:type="dxa" w:w="60"/>
            </w:tcMar>
          </w:tcPr>
          <w:p>
            <w:r>
              <w:rPr>
                <w:b/>
                <w:bCs/>
                <w:color w:val="1F3864"/>
                <w:sz w:val="21"/>
                <w:szCs w:val="21"/>
              </w:rPr>
              <w:t xml:space="preserve">Source Title</w:t>
            </w:r>
          </w:p>
        </w:tc>
        <w:tc>
          <w:tcPr>
            <w:tcW w:type="dxa" w:w="6300"/>
            <w:tcMar>
              <w:top w:type="dxa" w:w="60"/>
              <w:left w:type="dxa" w:w="100"/>
              <w:bottom w:type="dxa" w:w="60"/>
            </w:tcMar>
          </w:tcPr>
          <w:p>
            <w:r>
              <w:rPr>
                <w:sz w:val="21"/>
                <w:szCs w:val="21"/>
              </w:rPr>
              <w:t xml:space="preserve">#StopRansomware: Ghost (Cring) Ransomware</w:t>
            </w:r>
          </w:p>
        </w:tc>
      </w:tr>
      <w:tr>
        <w:tc>
          <w:tcPr>
            <w:tcW w:type="dxa" w:w="2900"/>
            <w:tcMar>
              <w:top w:type="dxa" w:w="60"/>
              <w:left w:type="dxa" w:w="100"/>
              <w:bottom w:type="dxa" w:w="60"/>
            </w:tcMar>
          </w:tcPr>
          <w:p>
            <w:r>
              <w:rPr>
                <w:b/>
                <w:bCs/>
                <w:color w:val="1F3864"/>
                <w:sz w:val="21"/>
                <w:szCs w:val="21"/>
              </w:rPr>
              <w:t xml:space="preserve">Advisory Published</w:t>
            </w:r>
          </w:p>
        </w:tc>
        <w:tc>
          <w:tcPr>
            <w:tcW w:type="dxa" w:w="6300"/>
            <w:tcMar>
              <w:top w:type="dxa" w:w="60"/>
              <w:left w:type="dxa" w:w="100"/>
              <w:bottom w:type="dxa" w:w="60"/>
            </w:tcMar>
          </w:tcPr>
          <w:p>
            <w:r>
              <w:rPr>
                <w:sz w:val="21"/>
                <w:szCs w:val="21"/>
              </w:rPr>
              <w:t xml:space="preserve">19 February 2025</w:t>
            </w:r>
          </w:p>
        </w:tc>
      </w:tr>
      <w:tr>
        <w:tc>
          <w:tcPr>
            <w:tcW w:type="dxa" w:w="2900"/>
            <w:tcMar>
              <w:top w:type="dxa" w:w="60"/>
              <w:left w:type="dxa" w:w="100"/>
              <w:bottom w:type="dxa" w:w="60"/>
            </w:tcMar>
          </w:tcPr>
          <w:p>
            <w:r>
              <w:rPr>
                <w:b/>
                <w:bCs/>
                <w:color w:val="1F3864"/>
                <w:sz w:val="21"/>
                <w:szCs w:val="21"/>
              </w:rPr>
              <w:t xml:space="preserve">Analysis Date</w:t>
            </w:r>
          </w:p>
        </w:tc>
        <w:tc>
          <w:tcPr>
            <w:tcW w:type="dxa" w:w="6300"/>
            <w:tcMar>
              <w:top w:type="dxa" w:w="60"/>
              <w:left w:type="dxa" w:w="100"/>
              <w:bottom w:type="dxa" w:w="60"/>
            </w:tcMar>
          </w:tcPr>
          <w:p>
            <w:r>
              <w:rPr>
                <w:sz w:val="21"/>
                <w:szCs w:val="21"/>
              </w:rPr>
              <w:t xml:space="preserve">29 July 2026</w:t>
            </w:r>
          </w:p>
        </w:tc>
      </w:tr>
      <w:tr>
        <w:tc>
          <w:tcPr>
            <w:tcW w:type="dxa" w:w="2900"/>
            <w:tcMar>
              <w:top w:type="dxa" w:w="60"/>
              <w:left w:type="dxa" w:w="100"/>
              <w:bottom w:type="dxa" w:w="60"/>
            </w:tcMar>
          </w:tcPr>
          <w:p>
            <w:r>
              <w:rPr>
                <w:b/>
                <w:bCs/>
                <w:color w:val="1F3864"/>
                <w:sz w:val="21"/>
                <w:szCs w:val="21"/>
              </w:rPr>
              <w:t xml:space="preserve">ATT&amp;CK Framework</w:t>
            </w:r>
          </w:p>
        </w:tc>
        <w:tc>
          <w:tcPr>
            <w:tcW w:type="dxa" w:w="6300"/>
            <w:tcMar>
              <w:top w:type="dxa" w:w="60"/>
              <w:left w:type="dxa" w:w="100"/>
              <w:bottom w:type="dxa" w:w="60"/>
            </w:tcMar>
          </w:tcPr>
          <w:p>
            <w:r>
              <w:rPr>
                <w:sz w:val="21"/>
                <w:szCs w:val="21"/>
              </w:rPr>
              <w:t xml:space="preserve">MITRE ATT&amp;CK for Enterprise v16.1</w:t>
            </w:r>
          </w:p>
        </w:tc>
      </w:tr>
      <w:tr>
        <w:tc>
          <w:tcPr>
            <w:tcW w:type="dxa" w:w="2900"/>
            <w:tcMar>
              <w:top w:type="dxa" w:w="60"/>
              <w:left w:type="dxa" w:w="100"/>
              <w:bottom w:type="dxa" w:w="60"/>
            </w:tcMar>
          </w:tcPr>
          <w:p>
            <w:r>
              <w:rPr>
                <w:b/>
                <w:bCs/>
                <w:color w:val="1F3864"/>
                <w:sz w:val="21"/>
                <w:szCs w:val="21"/>
              </w:rPr>
              <w:t xml:space="preserve">Prepared By</w:t>
            </w:r>
          </w:p>
        </w:tc>
        <w:tc>
          <w:tcPr>
            <w:tcW w:type="dxa" w:w="6300"/>
            <w:tcMar>
              <w:top w:type="dxa" w:w="60"/>
              <w:left w:type="dxa" w:w="100"/>
              <w:bottom w:type="dxa" w:w="60"/>
            </w:tcMar>
          </w:tcPr>
          <w:p>
            <w:r>
              <w:rPr>
                <w:sz w:val="21"/>
                <w:szCs w:val="21"/>
              </w:rPr>
              <w:t xml:space="preserve">Security Operations – Threat Intelligence</w:t>
            </w:r>
          </w:p>
        </w:tc>
      </w:tr>
      <w:tr>
        <w:tc>
          <w:tcPr>
            <w:tcW w:type="dxa" w:w="2900"/>
            <w:tcMar>
              <w:top w:type="dxa" w:w="60"/>
              <w:left w:type="dxa" w:w="100"/>
              <w:bottom w:type="dxa" w:w="60"/>
            </w:tcMar>
          </w:tcPr>
          <w:p>
            <w:r>
              <w:rPr>
                <w:b/>
                <w:bCs/>
                <w:color w:val="1F3864"/>
                <w:sz w:val="21"/>
                <w:szCs w:val="21"/>
              </w:rPr>
              <w:t xml:space="preserve">Distribution</w:t>
            </w:r>
          </w:p>
        </w:tc>
        <w:tc>
          <w:tcPr>
            <w:tcW w:type="dxa" w:w="6300"/>
            <w:tcMar>
              <w:top w:type="dxa" w:w="60"/>
              <w:left w:type="dxa" w:w="100"/>
              <w:bottom w:type="dxa" w:w="60"/>
            </w:tcMar>
          </w:tcPr>
          <w:p>
            <w:r>
              <w:rPr>
                <w:sz w:val="21"/>
                <w:szCs w:val="21"/>
              </w:rPr>
              <w:t xml:space="preserve">TLP:CLEAR</w:t>
            </w:r>
          </w:p>
        </w:tc>
      </w:tr>
    </w:tbl>
    <w:p>
      <w:r>
        <w:br w:type="page"/>
      </w:r>
    </w:p>
    <w:p>
      <w:pPr>
        <w:pStyle w:val="Heading1"/>
        <w:spacing w:after="140" w:before="340"/>
      </w:pPr>
      <w:r>
        <w:rPr>
          <w:b/>
          <w:bCs/>
          <w:color w:val="1F3864"/>
          <w:sz w:val="30"/>
          <w:szCs w:val="30"/>
        </w:rPr>
        <w:t xml:space="preserve">1.  Threat Overview</w:t>
      </w:r>
    </w:p>
    <w:p>
      <w:pPr>
        <w:spacing w:after="120" w:line="276"/>
      </w:pPr>
      <w:r>
        <w:rPr>
          <w:sz w:val="21"/>
          <w:szCs w:val="21"/>
        </w:rPr>
        <w:t xml:space="preserve">“Ghost” is a financially motivated ransomware crew based in China, active since early 2021 and responsible for compromises across more than 70 countries, including targets inside China itself. Attribution has been fragmented over time because the group rotates payloads, file extensions, ransom note text, and contact addresses — known aliases include Ghost, Cring, Crypt3r, Phantom, Strike, Hello, Wickrme, HsHarada, and Rapture.</w:t>
      </w:r>
    </w:p>
    <w:p>
      <w:pPr>
        <w:spacing w:after="120" w:line="276"/>
      </w:pPr>
      <w:r>
        <w:rPr>
          <w:sz w:val="21"/>
          <w:szCs w:val="21"/>
        </w:rPr>
        <w:t xml:space="preserve">Targeting is opportunistic rather than selective: victims are found via internet-facing vulnerability scanning, not chosen in advance. Affected sectors include critical infrastructure, education, healthcare, government, religious institutions, technology and manufacturing, and a long tail of small and medium businesses. Ransom demands range from tens to hundreds of thousands of dollars in cryptocurrency.</w:t>
      </w:r>
    </w:p>
    <w:p>
      <w:pPr>
        <w:pStyle w:val="Heading2"/>
        <w:spacing w:after="90" w:before="220"/>
      </w:pPr>
      <w:r>
        <w:rPr>
          <w:b/>
          <w:bCs/>
          <w:color w:val="2E74B5"/>
          <w:sz w:val="24"/>
          <w:szCs w:val="24"/>
        </w:rPr>
        <w:t xml:space="preserve">Operational Signature</w:t>
      </w:r>
    </w:p>
    <w:p>
      <w:pPr>
        <w:spacing w:after="120" w:line="276"/>
      </w:pPr>
      <w:r>
        <w:rPr>
          <w:sz w:val="21"/>
          <w:szCs w:val="21"/>
        </w:rPr>
        <w:t xml:space="preserve">Ghost is a fast actor. Dwell time is typically only a few days, and in multiple cases the group has moved from initial compromise to ransomware deployment within the same day. Persistence is not a priority. Two behaviours carry direct defensive value:</w:t>
      </w:r>
    </w:p>
    <w:p>
      <w:pPr>
        <w:pStyle w:val="ListParagraph"/>
        <w:numPr>
          <w:ilvl w:val="0"/>
          <w:numId w:val="2"/>
        </w:numPr>
        <w:spacing w:after="60" w:line="264"/>
      </w:pPr>
      <w:r>
        <w:rPr>
          <w:b/>
          <w:bCs/>
          <w:sz w:val="21"/>
          <w:szCs w:val="21"/>
        </w:rPr>
        <w:t xml:space="preserve">When lateral movement fails, they abandon the victim.  </w:t>
      </w:r>
      <w:r>
        <w:rPr>
          <w:sz w:val="21"/>
          <w:szCs w:val="21"/>
        </w:rPr>
        <w:t xml:space="preserve">Network segmentation functions as an effective deterrent against this specific actor, not just damage limitation.</w:t>
      </w:r>
    </w:p>
    <w:p>
      <w:pPr>
        <w:pStyle w:val="ListParagraph"/>
        <w:numPr>
          <w:ilvl w:val="0"/>
          <w:numId w:val="2"/>
        </w:numPr>
        <w:spacing w:after="60" w:line="264"/>
      </w:pPr>
      <w:r>
        <w:rPr>
          <w:b/>
          <w:bCs/>
          <w:sz w:val="21"/>
          <w:szCs w:val="21"/>
        </w:rPr>
        <w:t xml:space="preserve">Exfiltration is shallow.  </w:t>
      </w:r>
      <w:r>
        <w:rPr>
          <w:sz w:val="21"/>
          <w:szCs w:val="21"/>
        </w:rPr>
        <w:t xml:space="preserve">Despite ransom notes threatening data sale, actual exfiltration is typically well under hundreds of GB and rarely includes meaningful IP or PII — extortion leverage is largely bluff, which is relevant when advising on ransom decisions.</w:t>
      </w:r>
    </w:p>
    <w:p>
      <w:r>
        <w:br w:type="page"/>
      </w:r>
    </w:p>
    <w:p>
      <w:pPr>
        <w:pStyle w:val="Heading1"/>
        <w:spacing w:after="140" w:before="340"/>
      </w:pPr>
      <w:r>
        <w:rPr>
          <w:b/>
          <w:bCs/>
          <w:color w:val="1F3864"/>
          <w:sz w:val="30"/>
          <w:szCs w:val="30"/>
        </w:rPr>
        <w:t xml:space="preserve">2.  TTPs Mapped to MITRE ATT&amp;CK (Enterprise v16.1)</w:t>
      </w:r>
    </w:p>
    <w:p>
      <w:pPr>
        <w:spacing w:after="120" w:line="276"/>
      </w:pPr>
      <w:r>
        <w:rPr>
          <w:sz w:val="21"/>
          <w:szCs w:val="21"/>
        </w:rPr>
        <w:t xml:space="preserve">Confidence is High across the board unless noted. This is a joint FBI/CISA/MS-ISAC advisory sourced from direct FBI incident response, with specific command lines, tool names, and hashes rather than generic bulletin language.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850"/>
        <w:gridCol w:w="4400"/>
        <w:gridCol w:w="950"/>
      </w:tblGrid>
      <w:tr>
        <w:trPr>
          <w:tblHeader/>
        </w:trPr>
        <w:tc>
          <w:tcPr>
            <w:tcW w:type="dxa" w:w="1250"/>
            <w:shd w:fill="1F3864" w:val="clear"/>
            <w:tcMar>
              <w:top w:type="dxa" w:w="60"/>
              <w:left w:type="dxa" w:w="90"/>
              <w:bottom w:type="dxa" w:w="60"/>
              <w:right w:type="dxa" w:w="90"/>
            </w:tcMar>
          </w:tcPr>
          <w:p>
            <w:r>
              <w:rPr>
                <w:b/>
                <w:bCs/>
                <w:color w:val="FFFFFF"/>
                <w:sz w:val="18"/>
                <w:szCs w:val="18"/>
              </w:rPr>
              <w:t xml:space="preserve">Tactic</w:t>
            </w:r>
          </w:p>
        </w:tc>
        <w:tc>
          <w:tcPr>
            <w:tcW w:type="dxa" w:w="1750"/>
            <w:shd w:fill="1F3864" w:val="clear"/>
            <w:tcMar>
              <w:top w:type="dxa" w:w="60"/>
              <w:left w:type="dxa" w:w="90"/>
              <w:bottom w:type="dxa" w:w="60"/>
              <w:right w:type="dxa" w:w="90"/>
            </w:tcMar>
          </w:tcPr>
          <w:p>
            <w:r>
              <w:rPr>
                <w:b/>
                <w:bCs/>
                <w:color w:val="FFFFFF"/>
                <w:sz w:val="18"/>
                <w:szCs w:val="18"/>
              </w:rPr>
              <w:t xml:space="preserve">Technique</w:t>
            </w:r>
          </w:p>
        </w:tc>
        <w:tc>
          <w:tcPr>
            <w:tcW w:type="dxa" w:w="850"/>
            <w:shd w:fill="1F3864" w:val="clear"/>
            <w:tcMar>
              <w:top w:type="dxa" w:w="60"/>
              <w:left w:type="dxa" w:w="90"/>
              <w:bottom w:type="dxa" w:w="60"/>
              <w:right w:type="dxa" w:w="90"/>
            </w:tcMar>
          </w:tcPr>
          <w:p>
            <w:r>
              <w:rPr>
                <w:b/>
                <w:bCs/>
                <w:color w:val="FFFFFF"/>
                <w:sz w:val="18"/>
                <w:szCs w:val="18"/>
              </w:rPr>
              <w:t xml:space="preserve">ID</w:t>
            </w:r>
          </w:p>
        </w:tc>
        <w:tc>
          <w:tcPr>
            <w:tcW w:type="dxa" w:w="4400"/>
            <w:shd w:fill="1F3864" w:val="clear"/>
            <w:tcMar>
              <w:top w:type="dxa" w:w="60"/>
              <w:left w:type="dxa" w:w="90"/>
              <w:bottom w:type="dxa" w:w="60"/>
              <w:right w:type="dxa" w:w="90"/>
            </w:tcMar>
          </w:tcPr>
          <w:p>
            <w:r>
              <w:rPr>
                <w:b/>
                <w:bCs/>
                <w:color w:val="FFFFFF"/>
                <w:sz w:val="18"/>
                <w:szCs w:val="18"/>
              </w:rPr>
              <w:t xml:space="preserve">Use in this campaign</w:t>
            </w:r>
          </w:p>
        </w:tc>
        <w:tc>
          <w:tcPr>
            <w:tcW w:type="dxa" w:w="950"/>
            <w:shd w:fill="1F3864" w:val="clear"/>
            <w:tcMar>
              <w:top w:type="dxa" w:w="60"/>
              <w:left w:type="dxa" w:w="90"/>
              <w:bottom w:type="dxa" w:w="60"/>
              <w:right w:type="dxa" w:w="90"/>
            </w:tcMar>
          </w:tcPr>
          <w:p>
            <w:r>
              <w:rPr>
                <w:b/>
                <w:bCs/>
                <w:color w:val="FFFFFF"/>
                <w:sz w:val="18"/>
                <w:szCs w:val="18"/>
              </w:rPr>
              <w:t xml:space="preserve">Conf.</w:t>
            </w:r>
          </w:p>
        </w:tc>
      </w:tr>
      <w:tr>
        <w:tc>
          <w:tcPr>
            <w:tcW w:type="dxa" w:w="1250"/>
            <w:tcMar>
              <w:top w:type="dxa" w:w="60"/>
              <w:left w:type="dxa" w:w="90"/>
              <w:bottom w:type="dxa" w:w="60"/>
              <w:right w:type="dxa" w:w="90"/>
            </w:tcMar>
          </w:tcPr>
          <w:p>
            <w:r>
              <w:rPr>
                <w:b w:val="false"/>
                <w:bCs w:val="false"/>
                <w:color w:val="000000"/>
                <w:sz w:val="18"/>
                <w:szCs w:val="18"/>
              </w:rPr>
              <w:t xml:space="preserve">Initial Access</w:t>
            </w:r>
          </w:p>
        </w:tc>
        <w:tc>
          <w:tcPr>
            <w:tcW w:type="dxa" w:w="1750"/>
            <w:tcMar>
              <w:top w:type="dxa" w:w="60"/>
              <w:left w:type="dxa" w:w="90"/>
              <w:bottom w:type="dxa" w:w="60"/>
              <w:right w:type="dxa" w:w="90"/>
            </w:tcMar>
          </w:tcPr>
          <w:p>
            <w:r>
              <w:rPr>
                <w:b w:val="false"/>
                <w:bCs w:val="false"/>
                <w:color w:val="000000"/>
                <w:sz w:val="18"/>
                <w:szCs w:val="18"/>
              </w:rPr>
              <w:t xml:space="preserve">Exploit Public-Facing Application</w:t>
            </w:r>
          </w:p>
        </w:tc>
        <w:tc>
          <w:tcPr>
            <w:tcW w:type="dxa" w:w="850"/>
            <w:tcMar>
              <w:top w:type="dxa" w:w="60"/>
              <w:left w:type="dxa" w:w="90"/>
              <w:bottom w:type="dxa" w:w="60"/>
              <w:right w:type="dxa" w:w="90"/>
            </w:tcMar>
          </w:tcPr>
          <w:p>
            <w:r>
              <w:rPr>
                <w:b w:val="false"/>
                <w:bCs w:val="false"/>
                <w:color w:val="000000"/>
                <w:sz w:val="17"/>
                <w:szCs w:val="17"/>
              </w:rPr>
              <w:t xml:space="preserve">T1190</w:t>
            </w:r>
          </w:p>
        </w:tc>
        <w:tc>
          <w:tcPr>
            <w:tcW w:type="dxa" w:w="4400"/>
            <w:tcMar>
              <w:top w:type="dxa" w:w="60"/>
              <w:left w:type="dxa" w:w="90"/>
              <w:bottom w:type="dxa" w:w="60"/>
              <w:right w:type="dxa" w:w="90"/>
            </w:tcMar>
          </w:tcPr>
          <w:p>
            <w:r>
              <w:rPr>
                <w:b w:val="false"/>
                <w:bCs w:val="false"/>
                <w:color w:val="000000"/>
                <w:sz w:val="18"/>
                <w:szCs w:val="18"/>
              </w:rPr>
              <w:t xml:space="preserve">Exploits unpatched Fortinet, ColdFusion, SharePoint, Exchange via public exploit code</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Execution</w:t>
            </w:r>
          </w:p>
        </w:tc>
        <w:tc>
          <w:tcPr>
            <w:tcW w:type="dxa" w:w="1750"/>
            <w:tcMar>
              <w:top w:type="dxa" w:w="60"/>
              <w:left w:type="dxa" w:w="90"/>
              <w:bottom w:type="dxa" w:w="60"/>
              <w:right w:type="dxa" w:w="90"/>
            </w:tcMar>
          </w:tcPr>
          <w:p>
            <w:r>
              <w:rPr>
                <w:b w:val="false"/>
                <w:bCs w:val="false"/>
                <w:color w:val="000000"/>
                <w:sz w:val="18"/>
                <w:szCs w:val="18"/>
              </w:rPr>
              <w:t xml:space="preserve">Windows Management Instrumentation</w:t>
            </w:r>
          </w:p>
        </w:tc>
        <w:tc>
          <w:tcPr>
            <w:tcW w:type="dxa" w:w="850"/>
            <w:tcMar>
              <w:top w:type="dxa" w:w="60"/>
              <w:left w:type="dxa" w:w="90"/>
              <w:bottom w:type="dxa" w:w="60"/>
              <w:right w:type="dxa" w:w="90"/>
            </w:tcMar>
          </w:tcPr>
          <w:p>
            <w:r>
              <w:rPr>
                <w:b w:val="false"/>
                <w:bCs w:val="false"/>
                <w:color w:val="000000"/>
                <w:sz w:val="17"/>
                <w:szCs w:val="17"/>
              </w:rPr>
              <w:t xml:space="preserve">T1047</w:t>
            </w:r>
          </w:p>
        </w:tc>
        <w:tc>
          <w:tcPr>
            <w:tcW w:type="dxa" w:w="4400"/>
            <w:tcMar>
              <w:top w:type="dxa" w:w="60"/>
              <w:left w:type="dxa" w:w="90"/>
              <w:bottom w:type="dxa" w:w="60"/>
              <w:right w:type="dxa" w:w="90"/>
            </w:tcMar>
          </w:tcPr>
          <w:p>
            <w:r>
              <w:rPr>
                <w:b w:val="false"/>
                <w:bCs w:val="false"/>
                <w:color w:val="000000"/>
                <w:sz w:val="18"/>
                <w:szCs w:val="18"/>
              </w:rPr>
              <w:t xml:space="preserve">WMIC runs PowerShell on other hosts to spread Beacon</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Execution</w:t>
            </w:r>
          </w:p>
        </w:tc>
        <w:tc>
          <w:tcPr>
            <w:tcW w:type="dxa" w:w="1750"/>
            <w:tcMar>
              <w:top w:type="dxa" w:w="60"/>
              <w:left w:type="dxa" w:w="90"/>
              <w:bottom w:type="dxa" w:w="60"/>
              <w:right w:type="dxa" w:w="90"/>
            </w:tcMar>
          </w:tcPr>
          <w:p>
            <w:r>
              <w:rPr>
                <w:b w:val="false"/>
                <w:bCs w:val="false"/>
                <w:color w:val="000000"/>
                <w:sz w:val="18"/>
                <w:szCs w:val="18"/>
              </w:rPr>
              <w:t xml:space="preserve">PowerShell</w:t>
            </w:r>
          </w:p>
        </w:tc>
        <w:tc>
          <w:tcPr>
            <w:tcW w:type="dxa" w:w="850"/>
            <w:tcMar>
              <w:top w:type="dxa" w:w="60"/>
              <w:left w:type="dxa" w:w="90"/>
              <w:bottom w:type="dxa" w:w="60"/>
              <w:right w:type="dxa" w:w="90"/>
            </w:tcMar>
          </w:tcPr>
          <w:p>
            <w:r>
              <w:rPr>
                <w:b w:val="false"/>
                <w:bCs w:val="false"/>
                <w:color w:val="000000"/>
                <w:sz w:val="17"/>
                <w:szCs w:val="17"/>
              </w:rPr>
              <w:t xml:space="preserve">T1059.001</w:t>
            </w:r>
          </w:p>
        </w:tc>
        <w:tc>
          <w:tcPr>
            <w:tcW w:type="dxa" w:w="4400"/>
            <w:tcMar>
              <w:top w:type="dxa" w:w="60"/>
              <w:left w:type="dxa" w:w="90"/>
              <w:bottom w:type="dxa" w:w="60"/>
              <w:right w:type="dxa" w:w="90"/>
            </w:tcMar>
          </w:tcPr>
          <w:p>
            <w:r>
              <w:rPr>
                <w:b w:val="false"/>
                <w:bCs w:val="false"/>
                <w:color w:val="000000"/>
                <w:sz w:val="18"/>
                <w:szCs w:val="18"/>
              </w:rPr>
              <w:t xml:space="preserve">Downloads/executes Cobalt Strike; defense evasion commands</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Execution</w:t>
            </w:r>
          </w:p>
        </w:tc>
        <w:tc>
          <w:tcPr>
            <w:tcW w:type="dxa" w:w="1750"/>
            <w:tcMar>
              <w:top w:type="dxa" w:w="60"/>
              <w:left w:type="dxa" w:w="90"/>
              <w:bottom w:type="dxa" w:w="60"/>
              <w:right w:type="dxa" w:w="90"/>
            </w:tcMar>
          </w:tcPr>
          <w:p>
            <w:r>
              <w:rPr>
                <w:b w:val="false"/>
                <w:bCs w:val="false"/>
                <w:color w:val="000000"/>
                <w:sz w:val="18"/>
                <w:szCs w:val="18"/>
              </w:rPr>
              <w:t xml:space="preserve">Windows Command Shell</w:t>
            </w:r>
          </w:p>
        </w:tc>
        <w:tc>
          <w:tcPr>
            <w:tcW w:type="dxa" w:w="850"/>
            <w:tcMar>
              <w:top w:type="dxa" w:w="60"/>
              <w:left w:type="dxa" w:w="90"/>
              <w:bottom w:type="dxa" w:w="60"/>
              <w:right w:type="dxa" w:w="90"/>
            </w:tcMar>
          </w:tcPr>
          <w:p>
            <w:r>
              <w:rPr>
                <w:b w:val="false"/>
                <w:bCs w:val="false"/>
                <w:color w:val="000000"/>
                <w:sz w:val="17"/>
                <w:szCs w:val="17"/>
              </w:rPr>
              <w:t xml:space="preserve">T1059.003</w:t>
            </w:r>
          </w:p>
        </w:tc>
        <w:tc>
          <w:tcPr>
            <w:tcW w:type="dxa" w:w="4400"/>
            <w:tcMar>
              <w:top w:type="dxa" w:w="60"/>
              <w:left w:type="dxa" w:w="90"/>
              <w:bottom w:type="dxa" w:w="60"/>
              <w:right w:type="dxa" w:w="90"/>
            </w:tcMar>
          </w:tcPr>
          <w:p>
            <w:r>
              <w:rPr>
                <w:b w:val="false"/>
                <w:bCs w:val="false"/>
                <w:color w:val="000000"/>
                <w:sz w:val="18"/>
                <w:szCs w:val="18"/>
              </w:rPr>
              <w:t xml:space="preserve">cmd.exe pulls malicious content onto servers</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Persistence</w:t>
            </w:r>
          </w:p>
        </w:tc>
        <w:tc>
          <w:tcPr>
            <w:tcW w:type="dxa" w:w="1750"/>
            <w:tcMar>
              <w:top w:type="dxa" w:w="60"/>
              <w:left w:type="dxa" w:w="90"/>
              <w:bottom w:type="dxa" w:w="60"/>
              <w:right w:type="dxa" w:w="90"/>
            </w:tcMar>
          </w:tcPr>
          <w:p>
            <w:r>
              <w:rPr>
                <w:b w:val="false"/>
                <w:bCs w:val="false"/>
                <w:color w:val="000000"/>
                <w:sz w:val="18"/>
                <w:szCs w:val="18"/>
              </w:rPr>
              <w:t xml:space="preserve">Web Shell</w:t>
            </w:r>
          </w:p>
        </w:tc>
        <w:tc>
          <w:tcPr>
            <w:tcW w:type="dxa" w:w="850"/>
            <w:tcMar>
              <w:top w:type="dxa" w:w="60"/>
              <w:left w:type="dxa" w:w="90"/>
              <w:bottom w:type="dxa" w:w="60"/>
              <w:right w:type="dxa" w:w="90"/>
            </w:tcMar>
          </w:tcPr>
          <w:p>
            <w:r>
              <w:rPr>
                <w:b w:val="false"/>
                <w:bCs w:val="false"/>
                <w:color w:val="000000"/>
                <w:sz w:val="17"/>
                <w:szCs w:val="17"/>
              </w:rPr>
              <w:t xml:space="preserve">T1505.003</w:t>
            </w:r>
          </w:p>
        </w:tc>
        <w:tc>
          <w:tcPr>
            <w:tcW w:type="dxa" w:w="4400"/>
            <w:tcMar>
              <w:top w:type="dxa" w:w="60"/>
              <w:left w:type="dxa" w:w="90"/>
              <w:bottom w:type="dxa" w:w="60"/>
              <w:right w:type="dxa" w:w="90"/>
            </w:tcMar>
          </w:tcPr>
          <w:p>
            <w:r>
              <w:rPr>
                <w:b w:val="false"/>
                <w:bCs w:val="false"/>
                <w:color w:val="000000"/>
                <w:sz w:val="18"/>
                <w:szCs w:val="18"/>
              </w:rPr>
              <w:t xml:space="preserve">Uploaded to compromised web servers (again in 2024)</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Persistence</w:t>
            </w:r>
          </w:p>
        </w:tc>
        <w:tc>
          <w:tcPr>
            <w:tcW w:type="dxa" w:w="1750"/>
            <w:tcMar>
              <w:top w:type="dxa" w:w="60"/>
              <w:left w:type="dxa" w:w="90"/>
              <w:bottom w:type="dxa" w:w="60"/>
              <w:right w:type="dxa" w:w="90"/>
            </w:tcMar>
          </w:tcPr>
          <w:p>
            <w:r>
              <w:rPr>
                <w:b w:val="false"/>
                <w:bCs w:val="false"/>
                <w:color w:val="000000"/>
                <w:sz w:val="18"/>
                <w:szCs w:val="18"/>
              </w:rPr>
              <w:t xml:space="preserve">Account Manipulation</w:t>
            </w:r>
          </w:p>
        </w:tc>
        <w:tc>
          <w:tcPr>
            <w:tcW w:type="dxa" w:w="850"/>
            <w:tcMar>
              <w:top w:type="dxa" w:w="60"/>
              <w:left w:type="dxa" w:w="90"/>
              <w:bottom w:type="dxa" w:w="60"/>
              <w:right w:type="dxa" w:w="90"/>
            </w:tcMar>
          </w:tcPr>
          <w:p>
            <w:r>
              <w:rPr>
                <w:b w:val="false"/>
                <w:bCs w:val="false"/>
                <w:color w:val="000000"/>
                <w:sz w:val="17"/>
                <w:szCs w:val="17"/>
              </w:rPr>
              <w:t xml:space="preserve">T1098</w:t>
            </w:r>
          </w:p>
        </w:tc>
        <w:tc>
          <w:tcPr>
            <w:tcW w:type="dxa" w:w="4400"/>
            <w:tcMar>
              <w:top w:type="dxa" w:w="60"/>
              <w:left w:type="dxa" w:w="90"/>
              <w:bottom w:type="dxa" w:w="60"/>
              <w:right w:type="dxa" w:w="90"/>
            </w:tcMar>
          </w:tcPr>
          <w:p>
            <w:r>
              <w:rPr>
                <w:b w:val="false"/>
                <w:bCs w:val="false"/>
                <w:color w:val="000000"/>
                <w:sz w:val="18"/>
                <w:szCs w:val="18"/>
              </w:rPr>
              <w:t xml:space="preserve">Changes passwords on existing accounts</w:t>
            </w:r>
          </w:p>
        </w:tc>
        <w:tc>
          <w:tcPr>
            <w:tcW w:type="dxa" w:w="950"/>
            <w:tcMar>
              <w:top w:type="dxa" w:w="60"/>
              <w:left w:type="dxa" w:w="90"/>
              <w:bottom w:type="dxa" w:w="60"/>
              <w:right w:type="dxa" w:w="90"/>
            </w:tcMar>
          </w:tcPr>
          <w:p>
            <w:r>
              <w:rPr>
                <w:b/>
                <w:bCs/>
                <w:color w:val="B45F06"/>
                <w:sz w:val="18"/>
                <w:szCs w:val="18"/>
              </w:rPr>
              <w:t xml:space="preserve">Medium</w:t>
            </w:r>
          </w:p>
        </w:tc>
      </w:tr>
      <w:tr>
        <w:tc>
          <w:tcPr>
            <w:tcW w:type="dxa" w:w="1250"/>
            <w:tcMar>
              <w:top w:type="dxa" w:w="60"/>
              <w:left w:type="dxa" w:w="90"/>
              <w:bottom w:type="dxa" w:w="60"/>
              <w:right w:type="dxa" w:w="90"/>
            </w:tcMar>
          </w:tcPr>
          <w:p>
            <w:r>
              <w:rPr>
                <w:b w:val="false"/>
                <w:bCs w:val="false"/>
                <w:color w:val="000000"/>
                <w:sz w:val="18"/>
                <w:szCs w:val="18"/>
              </w:rPr>
              <w:t xml:space="preserve">Persistence</w:t>
            </w:r>
          </w:p>
        </w:tc>
        <w:tc>
          <w:tcPr>
            <w:tcW w:type="dxa" w:w="1750"/>
            <w:tcMar>
              <w:top w:type="dxa" w:w="60"/>
              <w:left w:type="dxa" w:w="90"/>
              <w:bottom w:type="dxa" w:w="60"/>
              <w:right w:type="dxa" w:w="90"/>
            </w:tcMar>
          </w:tcPr>
          <w:p>
            <w:r>
              <w:rPr>
                <w:b w:val="false"/>
                <w:bCs w:val="false"/>
                <w:color w:val="000000"/>
                <w:sz w:val="18"/>
                <w:szCs w:val="18"/>
              </w:rPr>
              <w:t xml:space="preserve">Create Local Account</w:t>
            </w:r>
          </w:p>
        </w:tc>
        <w:tc>
          <w:tcPr>
            <w:tcW w:type="dxa" w:w="850"/>
            <w:tcMar>
              <w:top w:type="dxa" w:w="60"/>
              <w:left w:type="dxa" w:w="90"/>
              <w:bottom w:type="dxa" w:w="60"/>
              <w:right w:type="dxa" w:w="90"/>
            </w:tcMar>
          </w:tcPr>
          <w:p>
            <w:r>
              <w:rPr>
                <w:b w:val="false"/>
                <w:bCs w:val="false"/>
                <w:color w:val="000000"/>
                <w:sz w:val="17"/>
                <w:szCs w:val="17"/>
              </w:rPr>
              <w:t xml:space="preserve">T1136.001</w:t>
            </w:r>
          </w:p>
        </w:tc>
        <w:tc>
          <w:tcPr>
            <w:tcW w:type="dxa" w:w="4400"/>
            <w:tcMar>
              <w:top w:type="dxa" w:w="60"/>
              <w:left w:type="dxa" w:w="90"/>
              <w:bottom w:type="dxa" w:w="60"/>
              <w:right w:type="dxa" w:w="90"/>
            </w:tcMar>
          </w:tcPr>
          <w:p>
            <w:r>
              <w:rPr>
                <w:b w:val="false"/>
                <w:bCs w:val="false"/>
                <w:color w:val="000000"/>
                <w:sz w:val="18"/>
                <w:szCs w:val="18"/>
              </w:rPr>
              <w:t xml:space="preserve">Creates/modifies local accounts</w:t>
            </w:r>
          </w:p>
        </w:tc>
        <w:tc>
          <w:tcPr>
            <w:tcW w:type="dxa" w:w="950"/>
            <w:tcMar>
              <w:top w:type="dxa" w:w="60"/>
              <w:left w:type="dxa" w:w="90"/>
              <w:bottom w:type="dxa" w:w="60"/>
              <w:right w:type="dxa" w:w="90"/>
            </w:tcMar>
          </w:tcPr>
          <w:p>
            <w:r>
              <w:rPr>
                <w:b/>
                <w:bCs/>
                <w:color w:val="B45F06"/>
                <w:sz w:val="18"/>
                <w:szCs w:val="18"/>
              </w:rPr>
              <w:t xml:space="preserve">Medium</w:t>
            </w:r>
          </w:p>
        </w:tc>
      </w:tr>
      <w:tr>
        <w:tc>
          <w:tcPr>
            <w:tcW w:type="dxa" w:w="1250"/>
            <w:tcMar>
              <w:top w:type="dxa" w:w="60"/>
              <w:left w:type="dxa" w:w="90"/>
              <w:bottom w:type="dxa" w:w="60"/>
              <w:right w:type="dxa" w:w="90"/>
            </w:tcMar>
          </w:tcPr>
          <w:p>
            <w:r>
              <w:rPr>
                <w:b w:val="false"/>
                <w:bCs w:val="false"/>
                <w:color w:val="000000"/>
                <w:sz w:val="18"/>
                <w:szCs w:val="18"/>
              </w:rPr>
              <w:t xml:space="preserve">Persistence</w:t>
            </w:r>
          </w:p>
        </w:tc>
        <w:tc>
          <w:tcPr>
            <w:tcW w:type="dxa" w:w="1750"/>
            <w:tcMar>
              <w:top w:type="dxa" w:w="60"/>
              <w:left w:type="dxa" w:w="90"/>
              <w:bottom w:type="dxa" w:w="60"/>
              <w:right w:type="dxa" w:w="90"/>
            </w:tcMar>
          </w:tcPr>
          <w:p>
            <w:r>
              <w:rPr>
                <w:b w:val="false"/>
                <w:bCs w:val="false"/>
                <w:color w:val="000000"/>
                <w:sz w:val="18"/>
                <w:szCs w:val="18"/>
              </w:rPr>
              <w:t xml:space="preserve">Create Domain Account</w:t>
            </w:r>
          </w:p>
        </w:tc>
        <w:tc>
          <w:tcPr>
            <w:tcW w:type="dxa" w:w="850"/>
            <w:tcMar>
              <w:top w:type="dxa" w:w="60"/>
              <w:left w:type="dxa" w:w="90"/>
              <w:bottom w:type="dxa" w:w="60"/>
              <w:right w:type="dxa" w:w="90"/>
            </w:tcMar>
          </w:tcPr>
          <w:p>
            <w:r>
              <w:rPr>
                <w:b w:val="false"/>
                <w:bCs w:val="false"/>
                <w:color w:val="000000"/>
                <w:sz w:val="17"/>
                <w:szCs w:val="17"/>
              </w:rPr>
              <w:t xml:space="preserve">T1136.002</w:t>
            </w:r>
          </w:p>
        </w:tc>
        <w:tc>
          <w:tcPr>
            <w:tcW w:type="dxa" w:w="4400"/>
            <w:tcMar>
              <w:top w:type="dxa" w:w="60"/>
              <w:left w:type="dxa" w:w="90"/>
              <w:bottom w:type="dxa" w:w="60"/>
              <w:right w:type="dxa" w:w="90"/>
            </w:tcMar>
          </w:tcPr>
          <w:p>
            <w:r>
              <w:rPr>
                <w:b w:val="false"/>
                <w:bCs w:val="false"/>
                <w:color w:val="000000"/>
                <w:sz w:val="18"/>
                <w:szCs w:val="18"/>
              </w:rPr>
              <w:t xml:space="preserve">Creates/modifies domain accounts</w:t>
            </w:r>
          </w:p>
        </w:tc>
        <w:tc>
          <w:tcPr>
            <w:tcW w:type="dxa" w:w="950"/>
            <w:tcMar>
              <w:top w:type="dxa" w:w="60"/>
              <w:left w:type="dxa" w:w="90"/>
              <w:bottom w:type="dxa" w:w="60"/>
              <w:right w:type="dxa" w:w="90"/>
            </w:tcMar>
          </w:tcPr>
          <w:p>
            <w:r>
              <w:rPr>
                <w:b/>
                <w:bCs/>
                <w:color w:val="B45F06"/>
                <w:sz w:val="18"/>
                <w:szCs w:val="18"/>
              </w:rPr>
              <w:t xml:space="preserve">Medium</w:t>
            </w:r>
          </w:p>
        </w:tc>
      </w:tr>
      <w:tr>
        <w:tc>
          <w:tcPr>
            <w:tcW w:type="dxa" w:w="1250"/>
            <w:tcMar>
              <w:top w:type="dxa" w:w="60"/>
              <w:left w:type="dxa" w:w="90"/>
              <w:bottom w:type="dxa" w:w="60"/>
              <w:right w:type="dxa" w:w="90"/>
            </w:tcMar>
          </w:tcPr>
          <w:p>
            <w:r>
              <w:rPr>
                <w:b w:val="false"/>
                <w:bCs w:val="false"/>
                <w:color w:val="000000"/>
                <w:sz w:val="18"/>
                <w:szCs w:val="18"/>
              </w:rPr>
              <w:t xml:space="preserve">Priv. Escalation</w:t>
            </w:r>
          </w:p>
        </w:tc>
        <w:tc>
          <w:tcPr>
            <w:tcW w:type="dxa" w:w="1750"/>
            <w:tcMar>
              <w:top w:type="dxa" w:w="60"/>
              <w:left w:type="dxa" w:w="90"/>
              <w:bottom w:type="dxa" w:w="60"/>
              <w:right w:type="dxa" w:w="90"/>
            </w:tcMar>
          </w:tcPr>
          <w:p>
            <w:r>
              <w:rPr>
                <w:b w:val="false"/>
                <w:bCs w:val="false"/>
                <w:color w:val="000000"/>
                <w:sz w:val="18"/>
                <w:szCs w:val="18"/>
              </w:rPr>
              <w:t xml:space="preserve">Token Impersonation/Theft</w:t>
            </w:r>
          </w:p>
        </w:tc>
        <w:tc>
          <w:tcPr>
            <w:tcW w:type="dxa" w:w="850"/>
            <w:tcMar>
              <w:top w:type="dxa" w:w="60"/>
              <w:left w:type="dxa" w:w="90"/>
              <w:bottom w:type="dxa" w:w="60"/>
              <w:right w:type="dxa" w:w="90"/>
            </w:tcMar>
          </w:tcPr>
          <w:p>
            <w:r>
              <w:rPr>
                <w:b w:val="false"/>
                <w:bCs w:val="false"/>
                <w:color w:val="000000"/>
                <w:sz w:val="17"/>
                <w:szCs w:val="17"/>
              </w:rPr>
              <w:t xml:space="preserve">T1134.001</w:t>
            </w:r>
          </w:p>
        </w:tc>
        <w:tc>
          <w:tcPr>
            <w:tcW w:type="dxa" w:w="4400"/>
            <w:tcMar>
              <w:top w:type="dxa" w:w="60"/>
              <w:left w:type="dxa" w:w="90"/>
              <w:bottom w:type="dxa" w:w="60"/>
              <w:right w:type="dxa" w:w="90"/>
            </w:tcMar>
          </w:tcPr>
          <w:p>
            <w:r>
              <w:rPr>
                <w:b w:val="false"/>
                <w:bCs w:val="false"/>
                <w:color w:val="000000"/>
                <w:sz w:val="18"/>
                <w:szCs w:val="18"/>
              </w:rPr>
              <w:t xml:space="preserve">Cobalt Strike SYSTEM token theft, re-runs Beacon elevated</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Priv. Escalation</w:t>
            </w:r>
          </w:p>
        </w:tc>
        <w:tc>
          <w:tcPr>
            <w:tcW w:type="dxa" w:w="1750"/>
            <w:tcMar>
              <w:top w:type="dxa" w:w="60"/>
              <w:left w:type="dxa" w:w="90"/>
              <w:bottom w:type="dxa" w:w="60"/>
              <w:right w:type="dxa" w:w="90"/>
            </w:tcMar>
          </w:tcPr>
          <w:p>
            <w:r>
              <w:rPr>
                <w:b w:val="false"/>
                <w:bCs w:val="false"/>
                <w:color w:val="000000"/>
                <w:sz w:val="18"/>
                <w:szCs w:val="18"/>
              </w:rPr>
              <w:t xml:space="preserve">Exploitation for Priv. Esc.</w:t>
            </w:r>
          </w:p>
        </w:tc>
        <w:tc>
          <w:tcPr>
            <w:tcW w:type="dxa" w:w="850"/>
            <w:tcMar>
              <w:top w:type="dxa" w:w="60"/>
              <w:left w:type="dxa" w:w="90"/>
              <w:bottom w:type="dxa" w:w="60"/>
              <w:right w:type="dxa" w:w="90"/>
            </w:tcMar>
          </w:tcPr>
          <w:p>
            <w:r>
              <w:rPr>
                <w:b w:val="false"/>
                <w:bCs w:val="false"/>
                <w:color w:val="000000"/>
                <w:sz w:val="17"/>
                <w:szCs w:val="17"/>
              </w:rPr>
              <w:t xml:space="preserve">T1068</w:t>
            </w:r>
          </w:p>
        </w:tc>
        <w:tc>
          <w:tcPr>
            <w:tcW w:type="dxa" w:w="4400"/>
            <w:tcMar>
              <w:top w:type="dxa" w:w="60"/>
              <w:left w:type="dxa" w:w="90"/>
              <w:bottom w:type="dxa" w:w="60"/>
              <w:right w:type="dxa" w:w="90"/>
            </w:tcMar>
          </w:tcPr>
          <w:p>
            <w:r>
              <w:rPr>
                <w:b w:val="false"/>
                <w:bCs w:val="false"/>
                <w:color w:val="000000"/>
                <w:sz w:val="18"/>
                <w:szCs w:val="18"/>
              </w:rPr>
              <w:t xml:space="preserve">SharpZeroLogon, SharpGPPPass, BadPotato, GodPotato</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Defense Evasion</w:t>
            </w:r>
          </w:p>
        </w:tc>
        <w:tc>
          <w:tcPr>
            <w:tcW w:type="dxa" w:w="1750"/>
            <w:tcMar>
              <w:top w:type="dxa" w:w="60"/>
              <w:left w:type="dxa" w:w="90"/>
              <w:bottom w:type="dxa" w:w="60"/>
              <w:right w:type="dxa" w:w="90"/>
            </w:tcMar>
          </w:tcPr>
          <w:p>
            <w:r>
              <w:rPr>
                <w:b w:val="false"/>
                <w:bCs w:val="false"/>
                <w:color w:val="000000"/>
                <w:sz w:val="18"/>
                <w:szCs w:val="18"/>
              </w:rPr>
              <w:t xml:space="preserve">Disable or Modify Tools</w:t>
            </w:r>
          </w:p>
        </w:tc>
        <w:tc>
          <w:tcPr>
            <w:tcW w:type="dxa" w:w="850"/>
            <w:tcMar>
              <w:top w:type="dxa" w:w="60"/>
              <w:left w:type="dxa" w:w="90"/>
              <w:bottom w:type="dxa" w:w="60"/>
              <w:right w:type="dxa" w:w="90"/>
            </w:tcMar>
          </w:tcPr>
          <w:p>
            <w:r>
              <w:rPr>
                <w:b w:val="false"/>
                <w:bCs w:val="false"/>
                <w:color w:val="000000"/>
                <w:sz w:val="17"/>
                <w:szCs w:val="17"/>
              </w:rPr>
              <w:t xml:space="preserve">T1562.001</w:t>
            </w:r>
          </w:p>
        </w:tc>
        <w:tc>
          <w:tcPr>
            <w:tcW w:type="dxa" w:w="4400"/>
            <w:tcMar>
              <w:top w:type="dxa" w:w="60"/>
              <w:left w:type="dxa" w:w="90"/>
              <w:bottom w:type="dxa" w:w="60"/>
              <w:right w:type="dxa" w:w="90"/>
            </w:tcMar>
          </w:tcPr>
          <w:p>
            <w:r>
              <w:rPr>
                <w:b w:val="false"/>
                <w:bCs w:val="false"/>
                <w:color w:val="000000"/>
                <w:sz w:val="18"/>
                <w:szCs w:val="18"/>
              </w:rPr>
              <w:t xml:space="preserve">Set-MpPreference command guts Windows Defender</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Defense Evasion</w:t>
            </w:r>
          </w:p>
        </w:tc>
        <w:tc>
          <w:tcPr>
            <w:tcW w:type="dxa" w:w="1750"/>
            <w:tcMar>
              <w:top w:type="dxa" w:w="60"/>
              <w:left w:type="dxa" w:w="90"/>
              <w:bottom w:type="dxa" w:w="60"/>
              <w:right w:type="dxa" w:w="90"/>
            </w:tcMar>
          </w:tcPr>
          <w:p>
            <w:r>
              <w:rPr>
                <w:b w:val="false"/>
                <w:bCs w:val="false"/>
                <w:color w:val="000000"/>
                <w:sz w:val="18"/>
                <w:szCs w:val="18"/>
              </w:rPr>
              <w:t xml:space="preserve">Hidden Window</w:t>
            </w:r>
          </w:p>
        </w:tc>
        <w:tc>
          <w:tcPr>
            <w:tcW w:type="dxa" w:w="850"/>
            <w:tcMar>
              <w:top w:type="dxa" w:w="60"/>
              <w:left w:type="dxa" w:w="90"/>
              <w:bottom w:type="dxa" w:w="60"/>
              <w:right w:type="dxa" w:w="90"/>
            </w:tcMar>
          </w:tcPr>
          <w:p>
            <w:r>
              <w:rPr>
                <w:b w:val="false"/>
                <w:bCs w:val="false"/>
                <w:color w:val="000000"/>
                <w:sz w:val="17"/>
                <w:szCs w:val="17"/>
              </w:rPr>
              <w:t xml:space="preserve">T1564.003</w:t>
            </w:r>
          </w:p>
        </w:tc>
        <w:tc>
          <w:tcPr>
            <w:tcW w:type="dxa" w:w="4400"/>
            <w:tcMar>
              <w:top w:type="dxa" w:w="60"/>
              <w:left w:type="dxa" w:w="90"/>
              <w:bottom w:type="dxa" w:w="60"/>
              <w:right w:type="dxa" w:w="90"/>
            </w:tcMar>
          </w:tcPr>
          <w:p>
            <w:r>
              <w:rPr>
                <w:b w:val="false"/>
                <w:bCs w:val="false"/>
                <w:color w:val="000000"/>
                <w:sz w:val="18"/>
                <w:szCs w:val="18"/>
              </w:rPr>
              <w:t xml:space="preserve">powershell -w hidden in lateral movement</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Defense Evasion</w:t>
            </w:r>
          </w:p>
        </w:tc>
        <w:tc>
          <w:tcPr>
            <w:tcW w:type="dxa" w:w="1750"/>
            <w:tcMar>
              <w:top w:type="dxa" w:w="60"/>
              <w:left w:type="dxa" w:w="90"/>
              <w:bottom w:type="dxa" w:w="60"/>
              <w:right w:type="dxa" w:w="90"/>
            </w:tcMar>
          </w:tcPr>
          <w:p>
            <w:r>
              <w:rPr>
                <w:b w:val="false"/>
                <w:bCs w:val="false"/>
                <w:color w:val="000000"/>
                <w:sz w:val="18"/>
                <w:szCs w:val="18"/>
              </w:rPr>
              <w:t xml:space="preserve">Clear Windows Event Logs</w:t>
            </w:r>
          </w:p>
        </w:tc>
        <w:tc>
          <w:tcPr>
            <w:tcW w:type="dxa" w:w="850"/>
            <w:tcMar>
              <w:top w:type="dxa" w:w="60"/>
              <w:left w:type="dxa" w:w="90"/>
              <w:bottom w:type="dxa" w:w="60"/>
              <w:right w:type="dxa" w:w="90"/>
            </w:tcMar>
          </w:tcPr>
          <w:p>
            <w:r>
              <w:rPr>
                <w:b w:val="false"/>
                <w:bCs w:val="false"/>
                <w:color w:val="000000"/>
                <w:sz w:val="17"/>
                <w:szCs w:val="17"/>
              </w:rPr>
              <w:t xml:space="preserve">T1070.001</w:t>
            </w:r>
          </w:p>
        </w:tc>
        <w:tc>
          <w:tcPr>
            <w:tcW w:type="dxa" w:w="4400"/>
            <w:tcMar>
              <w:top w:type="dxa" w:w="60"/>
              <w:left w:type="dxa" w:w="90"/>
              <w:bottom w:type="dxa" w:w="60"/>
              <w:right w:type="dxa" w:w="90"/>
            </w:tcMar>
          </w:tcPr>
          <w:p>
            <w:r>
              <w:rPr>
                <w:b w:val="false"/>
                <w:bCs w:val="false"/>
                <w:color w:val="000000"/>
                <w:sz w:val="18"/>
                <w:szCs w:val="18"/>
              </w:rPr>
              <w:t xml:space="preserve">Ransomware clears event logs at execution</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Credential Access</w:t>
            </w:r>
          </w:p>
        </w:tc>
        <w:tc>
          <w:tcPr>
            <w:tcW w:type="dxa" w:w="1750"/>
            <w:tcMar>
              <w:top w:type="dxa" w:w="60"/>
              <w:left w:type="dxa" w:w="90"/>
              <w:bottom w:type="dxa" w:w="60"/>
              <w:right w:type="dxa" w:w="90"/>
            </w:tcMar>
          </w:tcPr>
          <w:p>
            <w:r>
              <w:rPr>
                <w:b w:val="false"/>
                <w:bCs w:val="false"/>
                <w:color w:val="000000"/>
                <w:sz w:val="18"/>
                <w:szCs w:val="18"/>
              </w:rPr>
              <w:t xml:space="preserve">OS Credential Dumping</w:t>
            </w:r>
          </w:p>
        </w:tc>
        <w:tc>
          <w:tcPr>
            <w:tcW w:type="dxa" w:w="850"/>
            <w:tcMar>
              <w:top w:type="dxa" w:w="60"/>
              <w:left w:type="dxa" w:w="90"/>
              <w:bottom w:type="dxa" w:w="60"/>
              <w:right w:type="dxa" w:w="90"/>
            </w:tcMar>
          </w:tcPr>
          <w:p>
            <w:r>
              <w:rPr>
                <w:b w:val="false"/>
                <w:bCs w:val="false"/>
                <w:color w:val="000000"/>
                <w:sz w:val="17"/>
                <w:szCs w:val="17"/>
              </w:rPr>
              <w:t xml:space="preserve">T1003</w:t>
            </w:r>
          </w:p>
        </w:tc>
        <w:tc>
          <w:tcPr>
            <w:tcW w:type="dxa" w:w="4400"/>
            <w:tcMar>
              <w:top w:type="dxa" w:w="60"/>
              <w:left w:type="dxa" w:w="90"/>
              <w:bottom w:type="dxa" w:w="60"/>
              <w:right w:type="dxa" w:w="90"/>
            </w:tcMar>
          </w:tcPr>
          <w:p>
            <w:r>
              <w:rPr>
                <w:b w:val="false"/>
                <w:bCs w:val="false"/>
                <w:color w:val="000000"/>
                <w:sz w:val="18"/>
                <w:szCs w:val="18"/>
              </w:rPr>
              <w:t xml:space="preserve">Cobalt Strike hashdump and Mimikatz</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Discovery</w:t>
            </w:r>
          </w:p>
        </w:tc>
        <w:tc>
          <w:tcPr>
            <w:tcW w:type="dxa" w:w="1750"/>
            <w:tcMar>
              <w:top w:type="dxa" w:w="60"/>
              <w:left w:type="dxa" w:w="90"/>
              <w:bottom w:type="dxa" w:w="60"/>
              <w:right w:type="dxa" w:w="90"/>
            </w:tcMar>
          </w:tcPr>
          <w:p>
            <w:r>
              <w:rPr>
                <w:b w:val="false"/>
                <w:bCs w:val="false"/>
                <w:color w:val="000000"/>
                <w:sz w:val="18"/>
                <w:szCs w:val="18"/>
              </w:rPr>
              <w:t xml:space="preserve">Remote System Discovery</w:t>
            </w:r>
          </w:p>
        </w:tc>
        <w:tc>
          <w:tcPr>
            <w:tcW w:type="dxa" w:w="850"/>
            <w:tcMar>
              <w:top w:type="dxa" w:w="60"/>
              <w:left w:type="dxa" w:w="90"/>
              <w:bottom w:type="dxa" w:w="60"/>
              <w:right w:type="dxa" w:w="90"/>
            </w:tcMar>
          </w:tcPr>
          <w:p>
            <w:r>
              <w:rPr>
                <w:b w:val="false"/>
                <w:bCs w:val="false"/>
                <w:color w:val="000000"/>
                <w:sz w:val="17"/>
                <w:szCs w:val="17"/>
              </w:rPr>
              <w:t xml:space="preserve">T1018</w:t>
            </w:r>
          </w:p>
        </w:tc>
        <w:tc>
          <w:tcPr>
            <w:tcW w:type="dxa" w:w="4400"/>
            <w:tcMar>
              <w:top w:type="dxa" w:w="60"/>
              <w:left w:type="dxa" w:w="90"/>
              <w:bottom w:type="dxa" w:w="60"/>
              <w:right w:type="dxa" w:w="90"/>
            </w:tcMar>
          </w:tcPr>
          <w:p>
            <w:r>
              <w:rPr>
                <w:b w:val="false"/>
                <w:bCs w:val="false"/>
                <w:color w:val="000000"/>
                <w:sz w:val="18"/>
                <w:szCs w:val="18"/>
              </w:rPr>
              <w:t xml:space="preserve">Ladon 911, SharpNBTScan</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Discovery</w:t>
            </w:r>
          </w:p>
        </w:tc>
        <w:tc>
          <w:tcPr>
            <w:tcW w:type="dxa" w:w="1750"/>
            <w:tcMar>
              <w:top w:type="dxa" w:w="60"/>
              <w:left w:type="dxa" w:w="90"/>
              <w:bottom w:type="dxa" w:w="60"/>
              <w:right w:type="dxa" w:w="90"/>
            </w:tcMar>
          </w:tcPr>
          <w:p>
            <w:r>
              <w:rPr>
                <w:b w:val="false"/>
                <w:bCs w:val="false"/>
                <w:color w:val="000000"/>
                <w:sz w:val="18"/>
                <w:szCs w:val="18"/>
              </w:rPr>
              <w:t xml:space="preserve">Process Discovery</w:t>
            </w:r>
          </w:p>
        </w:tc>
        <w:tc>
          <w:tcPr>
            <w:tcW w:type="dxa" w:w="850"/>
            <w:tcMar>
              <w:top w:type="dxa" w:w="60"/>
              <w:left w:type="dxa" w:w="90"/>
              <w:bottom w:type="dxa" w:w="60"/>
              <w:right w:type="dxa" w:w="90"/>
            </w:tcMar>
          </w:tcPr>
          <w:p>
            <w:r>
              <w:rPr>
                <w:b w:val="false"/>
                <w:bCs w:val="false"/>
                <w:color w:val="000000"/>
                <w:sz w:val="17"/>
                <w:szCs w:val="17"/>
              </w:rPr>
              <w:t xml:space="preserve">T1057</w:t>
            </w:r>
          </w:p>
        </w:tc>
        <w:tc>
          <w:tcPr>
            <w:tcW w:type="dxa" w:w="4400"/>
            <w:tcMar>
              <w:top w:type="dxa" w:w="60"/>
              <w:left w:type="dxa" w:w="90"/>
              <w:bottom w:type="dxa" w:w="60"/>
              <w:right w:type="dxa" w:w="90"/>
            </w:tcMar>
          </w:tcPr>
          <w:p>
            <w:r>
              <w:rPr>
                <w:b w:val="false"/>
                <w:bCs w:val="false"/>
                <w:color w:val="000000"/>
                <w:sz w:val="18"/>
                <w:szCs w:val="18"/>
              </w:rPr>
              <w:t xml:space="preserve">Cobalt Strike ps to enumerate processes</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Discovery</w:t>
            </w:r>
          </w:p>
        </w:tc>
        <w:tc>
          <w:tcPr>
            <w:tcW w:type="dxa" w:w="1750"/>
            <w:tcMar>
              <w:top w:type="dxa" w:w="60"/>
              <w:left w:type="dxa" w:w="90"/>
              <w:bottom w:type="dxa" w:w="60"/>
              <w:right w:type="dxa" w:w="90"/>
            </w:tcMar>
          </w:tcPr>
          <w:p>
            <w:r>
              <w:rPr>
                <w:b w:val="false"/>
                <w:bCs w:val="false"/>
                <w:color w:val="000000"/>
                <w:sz w:val="18"/>
                <w:szCs w:val="18"/>
              </w:rPr>
              <w:t xml:space="preserve">Domain Account Discovery</w:t>
            </w:r>
          </w:p>
        </w:tc>
        <w:tc>
          <w:tcPr>
            <w:tcW w:type="dxa" w:w="850"/>
            <w:tcMar>
              <w:top w:type="dxa" w:w="60"/>
              <w:left w:type="dxa" w:w="90"/>
              <w:bottom w:type="dxa" w:w="60"/>
              <w:right w:type="dxa" w:w="90"/>
            </w:tcMar>
          </w:tcPr>
          <w:p>
            <w:r>
              <w:rPr>
                <w:b w:val="false"/>
                <w:bCs w:val="false"/>
                <w:color w:val="000000"/>
                <w:sz w:val="17"/>
                <w:szCs w:val="17"/>
              </w:rPr>
              <w:t xml:space="preserve">T1087.002</w:t>
            </w:r>
          </w:p>
        </w:tc>
        <w:tc>
          <w:tcPr>
            <w:tcW w:type="dxa" w:w="4400"/>
            <w:tcMar>
              <w:top w:type="dxa" w:w="60"/>
              <w:left w:type="dxa" w:w="90"/>
              <w:bottom w:type="dxa" w:w="60"/>
              <w:right w:type="dxa" w:w="90"/>
            </w:tcMar>
          </w:tcPr>
          <w:p>
            <w:r>
              <w:rPr>
                <w:b w:val="false"/>
                <w:bCs w:val="false"/>
                <w:color w:val="000000"/>
                <w:sz w:val="18"/>
                <w:szCs w:val="18"/>
              </w:rPr>
              <w:t xml:space="preserve">net group "Domain Admins" /domain</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Discovery</w:t>
            </w:r>
          </w:p>
        </w:tc>
        <w:tc>
          <w:tcPr>
            <w:tcW w:type="dxa" w:w="1750"/>
            <w:tcMar>
              <w:top w:type="dxa" w:w="60"/>
              <w:left w:type="dxa" w:w="90"/>
              <w:bottom w:type="dxa" w:w="60"/>
              <w:right w:type="dxa" w:w="90"/>
            </w:tcMar>
          </w:tcPr>
          <w:p>
            <w:r>
              <w:rPr>
                <w:b w:val="false"/>
                <w:bCs w:val="false"/>
                <w:color w:val="000000"/>
                <w:sz w:val="18"/>
                <w:szCs w:val="18"/>
              </w:rPr>
              <w:t xml:space="preserve">Network Share Discovery</w:t>
            </w:r>
          </w:p>
        </w:tc>
        <w:tc>
          <w:tcPr>
            <w:tcW w:type="dxa" w:w="850"/>
            <w:tcMar>
              <w:top w:type="dxa" w:w="60"/>
              <w:left w:type="dxa" w:w="90"/>
              <w:bottom w:type="dxa" w:w="60"/>
              <w:right w:type="dxa" w:w="90"/>
            </w:tcMar>
          </w:tcPr>
          <w:p>
            <w:r>
              <w:rPr>
                <w:b w:val="false"/>
                <w:bCs w:val="false"/>
                <w:color w:val="000000"/>
                <w:sz w:val="17"/>
                <w:szCs w:val="17"/>
              </w:rPr>
              <w:t xml:space="preserve">T1135</w:t>
            </w:r>
          </w:p>
        </w:tc>
        <w:tc>
          <w:tcPr>
            <w:tcW w:type="dxa" w:w="4400"/>
            <w:tcMar>
              <w:top w:type="dxa" w:w="60"/>
              <w:left w:type="dxa" w:w="90"/>
              <w:bottom w:type="dxa" w:w="60"/>
              <w:right w:type="dxa" w:w="90"/>
            </w:tcMar>
          </w:tcPr>
          <w:p>
            <w:r>
              <w:rPr>
                <w:b w:val="false"/>
                <w:bCs w:val="false"/>
                <w:color w:val="000000"/>
                <w:sz w:val="18"/>
                <w:szCs w:val="18"/>
              </w:rPr>
              <w:t xml:space="preserve">SharpShares.exe for share enumeration</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Discovery</w:t>
            </w:r>
          </w:p>
        </w:tc>
        <w:tc>
          <w:tcPr>
            <w:tcW w:type="dxa" w:w="1750"/>
            <w:tcMar>
              <w:top w:type="dxa" w:w="60"/>
              <w:left w:type="dxa" w:w="90"/>
              <w:bottom w:type="dxa" w:w="60"/>
              <w:right w:type="dxa" w:w="90"/>
            </w:tcMar>
          </w:tcPr>
          <w:p>
            <w:r>
              <w:rPr>
                <w:b w:val="false"/>
                <w:bCs w:val="false"/>
                <w:color w:val="000000"/>
                <w:sz w:val="18"/>
                <w:szCs w:val="18"/>
              </w:rPr>
              <w:t xml:space="preserve">Software Discovery</w:t>
            </w:r>
          </w:p>
        </w:tc>
        <w:tc>
          <w:tcPr>
            <w:tcW w:type="dxa" w:w="850"/>
            <w:tcMar>
              <w:top w:type="dxa" w:w="60"/>
              <w:left w:type="dxa" w:w="90"/>
              <w:bottom w:type="dxa" w:w="60"/>
              <w:right w:type="dxa" w:w="90"/>
            </w:tcMar>
          </w:tcPr>
          <w:p>
            <w:r>
              <w:rPr>
                <w:b w:val="false"/>
                <w:bCs w:val="false"/>
                <w:color w:val="000000"/>
                <w:sz w:val="17"/>
                <w:szCs w:val="17"/>
              </w:rPr>
              <w:t xml:space="preserve">T1518</w:t>
            </w:r>
          </w:p>
        </w:tc>
        <w:tc>
          <w:tcPr>
            <w:tcW w:type="dxa" w:w="4400"/>
            <w:tcMar>
              <w:top w:type="dxa" w:w="60"/>
              <w:left w:type="dxa" w:w="90"/>
              <w:bottom w:type="dxa" w:w="60"/>
              <w:right w:type="dxa" w:w="90"/>
            </w:tcMar>
          </w:tcPr>
          <w:p>
            <w:r>
              <w:rPr>
                <w:b w:val="false"/>
                <w:bCs w:val="false"/>
                <w:color w:val="000000"/>
                <w:sz w:val="18"/>
                <w:szCs w:val="18"/>
              </w:rPr>
              <w:t xml:space="preserve">Determines installed security software</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Discovery</w:t>
            </w:r>
          </w:p>
        </w:tc>
        <w:tc>
          <w:tcPr>
            <w:tcW w:type="dxa" w:w="1750"/>
            <w:tcMar>
              <w:top w:type="dxa" w:w="60"/>
              <w:left w:type="dxa" w:w="90"/>
              <w:bottom w:type="dxa" w:w="60"/>
              <w:right w:type="dxa" w:w="90"/>
            </w:tcMar>
          </w:tcPr>
          <w:p>
            <w:r>
              <w:rPr>
                <w:b w:val="false"/>
                <w:bCs w:val="false"/>
                <w:color w:val="000000"/>
                <w:sz w:val="18"/>
                <w:szCs w:val="18"/>
              </w:rPr>
              <w:t xml:space="preserve">Security Software Discovery</w:t>
            </w:r>
          </w:p>
        </w:tc>
        <w:tc>
          <w:tcPr>
            <w:tcW w:type="dxa" w:w="850"/>
            <w:tcMar>
              <w:top w:type="dxa" w:w="60"/>
              <w:left w:type="dxa" w:w="90"/>
              <w:bottom w:type="dxa" w:w="60"/>
              <w:right w:type="dxa" w:w="90"/>
            </w:tcMar>
          </w:tcPr>
          <w:p>
            <w:r>
              <w:rPr>
                <w:b w:val="false"/>
                <w:bCs w:val="false"/>
                <w:color w:val="000000"/>
                <w:sz w:val="17"/>
                <w:szCs w:val="17"/>
              </w:rPr>
              <w:t xml:space="preserve">T1518.001</w:t>
            </w:r>
          </w:p>
        </w:tc>
        <w:tc>
          <w:tcPr>
            <w:tcW w:type="dxa" w:w="4400"/>
            <w:tcMar>
              <w:top w:type="dxa" w:w="60"/>
              <w:left w:type="dxa" w:w="90"/>
              <w:bottom w:type="dxa" w:w="60"/>
              <w:right w:type="dxa" w:w="90"/>
            </w:tcMar>
          </w:tcPr>
          <w:p>
            <w:r>
              <w:rPr>
                <w:b w:val="false"/>
                <w:bCs w:val="false"/>
                <w:color w:val="000000"/>
                <w:sz w:val="18"/>
                <w:szCs w:val="18"/>
              </w:rPr>
              <w:t xml:space="preserve">Enumerates running AV via Cobalt Strike</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Lateral Movement</w:t>
            </w:r>
          </w:p>
        </w:tc>
        <w:tc>
          <w:tcPr>
            <w:tcW w:type="dxa" w:w="1750"/>
            <w:tcMar>
              <w:top w:type="dxa" w:w="60"/>
              <w:left w:type="dxa" w:w="90"/>
              <w:bottom w:type="dxa" w:w="60"/>
              <w:right w:type="dxa" w:w="90"/>
            </w:tcMar>
          </w:tcPr>
          <w:p>
            <w:r>
              <w:rPr>
                <w:b w:val="false"/>
                <w:bCs w:val="false"/>
                <w:color w:val="000000"/>
                <w:sz w:val="18"/>
                <w:szCs w:val="18"/>
              </w:rPr>
              <w:t xml:space="preserve">(via T1047 + T1059.001)</w:t>
            </w:r>
          </w:p>
        </w:tc>
        <w:tc>
          <w:tcPr>
            <w:tcW w:type="dxa" w:w="850"/>
            <w:tcMar>
              <w:top w:type="dxa" w:w="60"/>
              <w:left w:type="dxa" w:w="90"/>
              <w:bottom w:type="dxa" w:w="60"/>
              <w:right w:type="dxa" w:w="90"/>
            </w:tcMar>
          </w:tcPr>
          <w:p>
            <w:r>
              <w:rPr>
                <w:b w:val="false"/>
                <w:bCs w:val="false"/>
                <w:color w:val="000000"/>
                <w:sz w:val="17"/>
                <w:szCs w:val="17"/>
              </w:rPr>
              <w:t xml:space="preserve">—</w:t>
            </w:r>
          </w:p>
        </w:tc>
        <w:tc>
          <w:tcPr>
            <w:tcW w:type="dxa" w:w="4400"/>
            <w:tcMar>
              <w:top w:type="dxa" w:w="60"/>
              <w:left w:type="dxa" w:w="90"/>
              <w:bottom w:type="dxa" w:w="60"/>
              <w:right w:type="dxa" w:w="90"/>
            </w:tcMar>
          </w:tcPr>
          <w:p>
            <w:r>
              <w:rPr>
                <w:b w:val="false"/>
                <w:bCs w:val="false"/>
                <w:color w:val="000000"/>
                <w:sz w:val="18"/>
                <w:szCs w:val="18"/>
              </w:rPr>
              <w:t xml:space="preserve">WMIC-invoked base64 PowerShell detonates Beacon in memory</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C2</w:t>
            </w:r>
          </w:p>
        </w:tc>
        <w:tc>
          <w:tcPr>
            <w:tcW w:type="dxa" w:w="1750"/>
            <w:tcMar>
              <w:top w:type="dxa" w:w="60"/>
              <w:left w:type="dxa" w:w="90"/>
              <w:bottom w:type="dxa" w:w="60"/>
              <w:right w:type="dxa" w:w="90"/>
            </w:tcMar>
          </w:tcPr>
          <w:p>
            <w:r>
              <w:rPr>
                <w:b w:val="false"/>
                <w:bCs w:val="false"/>
                <w:color w:val="000000"/>
                <w:sz w:val="18"/>
                <w:szCs w:val="18"/>
              </w:rPr>
              <w:t xml:space="preserve">Web Protocols</w:t>
            </w:r>
          </w:p>
        </w:tc>
        <w:tc>
          <w:tcPr>
            <w:tcW w:type="dxa" w:w="850"/>
            <w:tcMar>
              <w:top w:type="dxa" w:w="60"/>
              <w:left w:type="dxa" w:w="90"/>
              <w:bottom w:type="dxa" w:w="60"/>
              <w:right w:type="dxa" w:w="90"/>
            </w:tcMar>
          </w:tcPr>
          <w:p>
            <w:r>
              <w:rPr>
                <w:b w:val="false"/>
                <w:bCs w:val="false"/>
                <w:color w:val="000000"/>
                <w:sz w:val="17"/>
                <w:szCs w:val="17"/>
              </w:rPr>
              <w:t xml:space="preserve">T1071.001</w:t>
            </w:r>
          </w:p>
        </w:tc>
        <w:tc>
          <w:tcPr>
            <w:tcW w:type="dxa" w:w="4400"/>
            <w:tcMar>
              <w:top w:type="dxa" w:w="60"/>
              <w:left w:type="dxa" w:w="90"/>
              <w:bottom w:type="dxa" w:w="60"/>
              <w:right w:type="dxa" w:w="90"/>
            </w:tcMar>
          </w:tcPr>
          <w:p>
            <w:r>
              <w:rPr>
                <w:b w:val="false"/>
                <w:bCs w:val="false"/>
                <w:color w:val="000000"/>
                <w:sz w:val="18"/>
                <w:szCs w:val="18"/>
              </w:rPr>
              <w:t xml:space="preserve">Cobalt Strike Beacon/Team Server over HTTP/HTTPS</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C2</w:t>
            </w:r>
          </w:p>
        </w:tc>
        <w:tc>
          <w:tcPr>
            <w:tcW w:type="dxa" w:w="1750"/>
            <w:tcMar>
              <w:top w:type="dxa" w:w="60"/>
              <w:left w:type="dxa" w:w="90"/>
              <w:bottom w:type="dxa" w:w="60"/>
              <w:right w:type="dxa" w:w="90"/>
            </w:tcMar>
          </w:tcPr>
          <w:p>
            <w:r>
              <w:rPr>
                <w:b w:val="false"/>
                <w:bCs w:val="false"/>
                <w:color w:val="000000"/>
                <w:sz w:val="18"/>
                <w:szCs w:val="18"/>
              </w:rPr>
              <w:t xml:space="preserve">Ingress Tool Transfer</w:t>
            </w:r>
          </w:p>
        </w:tc>
        <w:tc>
          <w:tcPr>
            <w:tcW w:type="dxa" w:w="850"/>
            <w:tcMar>
              <w:top w:type="dxa" w:w="60"/>
              <w:left w:type="dxa" w:w="90"/>
              <w:bottom w:type="dxa" w:w="60"/>
              <w:right w:type="dxa" w:w="90"/>
            </w:tcMar>
          </w:tcPr>
          <w:p>
            <w:r>
              <w:rPr>
                <w:b w:val="false"/>
                <w:bCs w:val="false"/>
                <w:color w:val="000000"/>
                <w:sz w:val="17"/>
                <w:szCs w:val="17"/>
              </w:rPr>
              <w:t xml:space="preserve">T1105</w:t>
            </w:r>
          </w:p>
        </w:tc>
        <w:tc>
          <w:tcPr>
            <w:tcW w:type="dxa" w:w="4400"/>
            <w:tcMar>
              <w:top w:type="dxa" w:w="60"/>
              <w:left w:type="dxa" w:w="90"/>
              <w:bottom w:type="dxa" w:w="60"/>
              <w:right w:type="dxa" w:w="90"/>
            </w:tcMar>
          </w:tcPr>
          <w:p>
            <w:r>
              <w:rPr>
                <w:b w:val="false"/>
                <w:bCs w:val="false"/>
                <w:color w:val="000000"/>
                <w:sz w:val="18"/>
                <w:szCs w:val="18"/>
              </w:rPr>
              <w:t xml:space="preserve">Beacon delivers ransomware payloads</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C2</w:t>
            </w:r>
          </w:p>
        </w:tc>
        <w:tc>
          <w:tcPr>
            <w:tcW w:type="dxa" w:w="1750"/>
            <w:tcMar>
              <w:top w:type="dxa" w:w="60"/>
              <w:left w:type="dxa" w:w="90"/>
              <w:bottom w:type="dxa" w:w="60"/>
              <w:right w:type="dxa" w:w="90"/>
            </w:tcMar>
          </w:tcPr>
          <w:p>
            <w:r>
              <w:rPr>
                <w:b w:val="false"/>
                <w:bCs w:val="false"/>
                <w:color w:val="000000"/>
                <w:sz w:val="18"/>
                <w:szCs w:val="18"/>
              </w:rPr>
              <w:t xml:space="preserve">Standard Encoding</w:t>
            </w:r>
          </w:p>
        </w:tc>
        <w:tc>
          <w:tcPr>
            <w:tcW w:type="dxa" w:w="850"/>
            <w:tcMar>
              <w:top w:type="dxa" w:w="60"/>
              <w:left w:type="dxa" w:w="90"/>
              <w:bottom w:type="dxa" w:w="60"/>
              <w:right w:type="dxa" w:w="90"/>
            </w:tcMar>
          </w:tcPr>
          <w:p>
            <w:r>
              <w:rPr>
                <w:b w:val="false"/>
                <w:bCs w:val="false"/>
                <w:color w:val="000000"/>
                <w:sz w:val="17"/>
                <w:szCs w:val="17"/>
              </w:rPr>
              <w:t xml:space="preserve">T1132.001</w:t>
            </w:r>
          </w:p>
        </w:tc>
        <w:tc>
          <w:tcPr>
            <w:tcW w:type="dxa" w:w="4400"/>
            <w:tcMar>
              <w:top w:type="dxa" w:w="60"/>
              <w:left w:type="dxa" w:w="90"/>
              <w:bottom w:type="dxa" w:w="60"/>
              <w:right w:type="dxa" w:w="90"/>
            </w:tcMar>
          </w:tcPr>
          <w:p>
            <w:r>
              <w:rPr>
                <w:b w:val="false"/>
                <w:bCs w:val="false"/>
                <w:color w:val="000000"/>
                <w:sz w:val="18"/>
                <w:szCs w:val="18"/>
              </w:rPr>
              <w:t xml:space="preserve">Base64-encoded PowerShell for lateral movement</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C2</w:t>
            </w:r>
          </w:p>
        </w:tc>
        <w:tc>
          <w:tcPr>
            <w:tcW w:type="dxa" w:w="1750"/>
            <w:tcMar>
              <w:top w:type="dxa" w:w="60"/>
              <w:left w:type="dxa" w:w="90"/>
              <w:bottom w:type="dxa" w:w="60"/>
              <w:right w:type="dxa" w:w="90"/>
            </w:tcMar>
          </w:tcPr>
          <w:p>
            <w:r>
              <w:rPr>
                <w:b w:val="false"/>
                <w:bCs w:val="false"/>
                <w:color w:val="000000"/>
                <w:sz w:val="18"/>
                <w:szCs w:val="18"/>
              </w:rPr>
              <w:t xml:space="preserve">Encrypted Channel</w:t>
            </w:r>
          </w:p>
        </w:tc>
        <w:tc>
          <w:tcPr>
            <w:tcW w:type="dxa" w:w="850"/>
            <w:tcMar>
              <w:top w:type="dxa" w:w="60"/>
              <w:left w:type="dxa" w:w="90"/>
              <w:bottom w:type="dxa" w:w="60"/>
              <w:right w:type="dxa" w:w="90"/>
            </w:tcMar>
          </w:tcPr>
          <w:p>
            <w:r>
              <w:rPr>
                <w:b w:val="false"/>
                <w:bCs w:val="false"/>
                <w:color w:val="000000"/>
                <w:sz w:val="17"/>
                <w:szCs w:val="17"/>
              </w:rPr>
              <w:t xml:space="preserve">T1573</w:t>
            </w:r>
          </w:p>
        </w:tc>
        <w:tc>
          <w:tcPr>
            <w:tcW w:type="dxa" w:w="4400"/>
            <w:tcMar>
              <w:top w:type="dxa" w:w="60"/>
              <w:left w:type="dxa" w:w="90"/>
              <w:bottom w:type="dxa" w:w="60"/>
              <w:right w:type="dxa" w:w="90"/>
            </w:tcMar>
          </w:tcPr>
          <w:p>
            <w:r>
              <w:rPr>
                <w:b w:val="false"/>
                <w:bCs w:val="false"/>
                <w:color w:val="000000"/>
                <w:sz w:val="18"/>
                <w:szCs w:val="18"/>
              </w:rPr>
              <w:t xml:space="preserve">Encrypted email providers for victim comms</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Exfiltration</w:t>
            </w:r>
          </w:p>
        </w:tc>
        <w:tc>
          <w:tcPr>
            <w:tcW w:type="dxa" w:w="1750"/>
            <w:tcMar>
              <w:top w:type="dxa" w:w="60"/>
              <w:left w:type="dxa" w:w="90"/>
              <w:bottom w:type="dxa" w:w="60"/>
              <w:right w:type="dxa" w:w="90"/>
            </w:tcMar>
          </w:tcPr>
          <w:p>
            <w:r>
              <w:rPr>
                <w:b w:val="false"/>
                <w:bCs w:val="false"/>
                <w:color w:val="000000"/>
                <w:sz w:val="18"/>
                <w:szCs w:val="18"/>
              </w:rPr>
              <w:t xml:space="preserve">Exfiltration Over C2 Channel</w:t>
            </w:r>
          </w:p>
        </w:tc>
        <w:tc>
          <w:tcPr>
            <w:tcW w:type="dxa" w:w="850"/>
            <w:tcMar>
              <w:top w:type="dxa" w:w="60"/>
              <w:left w:type="dxa" w:w="90"/>
              <w:bottom w:type="dxa" w:w="60"/>
              <w:right w:type="dxa" w:w="90"/>
            </w:tcMar>
          </w:tcPr>
          <w:p>
            <w:r>
              <w:rPr>
                <w:b w:val="false"/>
                <w:bCs w:val="false"/>
                <w:color w:val="000000"/>
                <w:sz w:val="17"/>
                <w:szCs w:val="17"/>
              </w:rPr>
              <w:t xml:space="preserve">T1041</w:t>
            </w:r>
          </w:p>
        </w:tc>
        <w:tc>
          <w:tcPr>
            <w:tcW w:type="dxa" w:w="4400"/>
            <w:tcMar>
              <w:top w:type="dxa" w:w="60"/>
              <w:left w:type="dxa" w:w="90"/>
              <w:bottom w:type="dxa" w:w="60"/>
              <w:right w:type="dxa" w:w="90"/>
            </w:tcMar>
          </w:tcPr>
          <w:p>
            <w:r>
              <w:rPr>
                <w:b w:val="false"/>
                <w:bCs w:val="false"/>
                <w:color w:val="000000"/>
                <w:sz w:val="18"/>
                <w:szCs w:val="18"/>
              </w:rPr>
              <w:t xml:space="preserve">Limited data pulled to Cobalt Strike Team Servers</w:t>
            </w:r>
          </w:p>
        </w:tc>
        <w:tc>
          <w:tcPr>
            <w:tcW w:type="dxa" w:w="950"/>
            <w:tcMar>
              <w:top w:type="dxa" w:w="60"/>
              <w:left w:type="dxa" w:w="90"/>
              <w:bottom w:type="dxa" w:w="60"/>
              <w:right w:type="dxa" w:w="90"/>
            </w:tcMar>
          </w:tcPr>
          <w:p>
            <w:r>
              <w:rPr>
                <w:b/>
                <w:bCs/>
                <w:color w:val="B45F06"/>
                <w:sz w:val="18"/>
                <w:szCs w:val="18"/>
              </w:rPr>
              <w:t xml:space="preserve">Medium</w:t>
            </w:r>
          </w:p>
        </w:tc>
      </w:tr>
      <w:tr>
        <w:tc>
          <w:tcPr>
            <w:tcW w:type="dxa" w:w="1250"/>
            <w:tcMar>
              <w:top w:type="dxa" w:w="60"/>
              <w:left w:type="dxa" w:w="90"/>
              <w:bottom w:type="dxa" w:w="60"/>
              <w:right w:type="dxa" w:w="90"/>
            </w:tcMar>
          </w:tcPr>
          <w:p>
            <w:r>
              <w:rPr>
                <w:b w:val="false"/>
                <w:bCs w:val="false"/>
                <w:color w:val="000000"/>
                <w:sz w:val="18"/>
                <w:szCs w:val="18"/>
              </w:rPr>
              <w:t xml:space="preserve">Exfiltration</w:t>
            </w:r>
          </w:p>
        </w:tc>
        <w:tc>
          <w:tcPr>
            <w:tcW w:type="dxa" w:w="1750"/>
            <w:tcMar>
              <w:top w:type="dxa" w:w="60"/>
              <w:left w:type="dxa" w:w="90"/>
              <w:bottom w:type="dxa" w:w="60"/>
              <w:right w:type="dxa" w:w="90"/>
            </w:tcMar>
          </w:tcPr>
          <w:p>
            <w:r>
              <w:rPr>
                <w:b w:val="false"/>
                <w:bCs w:val="false"/>
                <w:color w:val="000000"/>
                <w:sz w:val="18"/>
                <w:szCs w:val="18"/>
              </w:rPr>
              <w:t xml:space="preserve">Exfiltration to Cloud Storage</w:t>
            </w:r>
          </w:p>
        </w:tc>
        <w:tc>
          <w:tcPr>
            <w:tcW w:type="dxa" w:w="850"/>
            <w:tcMar>
              <w:top w:type="dxa" w:w="60"/>
              <w:left w:type="dxa" w:w="90"/>
              <w:bottom w:type="dxa" w:w="60"/>
              <w:right w:type="dxa" w:w="90"/>
            </w:tcMar>
          </w:tcPr>
          <w:p>
            <w:r>
              <w:rPr>
                <w:b w:val="false"/>
                <w:bCs w:val="false"/>
                <w:color w:val="000000"/>
                <w:sz w:val="17"/>
                <w:szCs w:val="17"/>
              </w:rPr>
              <w:t xml:space="preserve">T1567.002</w:t>
            </w:r>
          </w:p>
        </w:tc>
        <w:tc>
          <w:tcPr>
            <w:tcW w:type="dxa" w:w="4400"/>
            <w:tcMar>
              <w:top w:type="dxa" w:w="60"/>
              <w:left w:type="dxa" w:w="90"/>
              <w:bottom w:type="dxa" w:w="60"/>
              <w:right w:type="dxa" w:w="90"/>
            </w:tcMar>
          </w:tcPr>
          <w:p>
            <w:r>
              <w:rPr>
                <w:b w:val="false"/>
                <w:bCs w:val="false"/>
                <w:color w:val="000000"/>
                <w:sz w:val="18"/>
                <w:szCs w:val="18"/>
              </w:rPr>
              <w:t xml:space="preserve">Mega.nz, plus web shells for small-volume exfil</w:t>
            </w:r>
          </w:p>
        </w:tc>
        <w:tc>
          <w:tcPr>
            <w:tcW w:type="dxa" w:w="950"/>
            <w:tcMar>
              <w:top w:type="dxa" w:w="60"/>
              <w:left w:type="dxa" w:w="90"/>
              <w:bottom w:type="dxa" w:w="60"/>
              <w:right w:type="dxa" w:w="90"/>
            </w:tcMar>
          </w:tcPr>
          <w:p>
            <w:r>
              <w:rPr>
                <w:b/>
                <w:bCs/>
                <w:color w:val="B45F06"/>
                <w:sz w:val="18"/>
                <w:szCs w:val="18"/>
              </w:rPr>
              <w:t xml:space="preserve">Medium</w:t>
            </w:r>
          </w:p>
        </w:tc>
      </w:tr>
      <w:tr>
        <w:tc>
          <w:tcPr>
            <w:tcW w:type="dxa" w:w="1250"/>
            <w:tcMar>
              <w:top w:type="dxa" w:w="60"/>
              <w:left w:type="dxa" w:w="90"/>
              <w:bottom w:type="dxa" w:w="60"/>
              <w:right w:type="dxa" w:w="90"/>
            </w:tcMar>
          </w:tcPr>
          <w:p>
            <w:r>
              <w:rPr>
                <w:b w:val="false"/>
                <w:bCs w:val="false"/>
                <w:color w:val="000000"/>
                <w:sz w:val="18"/>
                <w:szCs w:val="18"/>
              </w:rPr>
              <w:t xml:space="preserve">Impact</w:t>
            </w:r>
          </w:p>
        </w:tc>
        <w:tc>
          <w:tcPr>
            <w:tcW w:type="dxa" w:w="1750"/>
            <w:tcMar>
              <w:top w:type="dxa" w:w="60"/>
              <w:left w:type="dxa" w:w="90"/>
              <w:bottom w:type="dxa" w:w="60"/>
              <w:right w:type="dxa" w:w="90"/>
            </w:tcMar>
          </w:tcPr>
          <w:p>
            <w:r>
              <w:rPr>
                <w:b w:val="false"/>
                <w:bCs w:val="false"/>
                <w:color w:val="000000"/>
                <w:sz w:val="18"/>
                <w:szCs w:val="18"/>
              </w:rPr>
              <w:t xml:space="preserve">Data Encrypted for Impact</w:t>
            </w:r>
          </w:p>
        </w:tc>
        <w:tc>
          <w:tcPr>
            <w:tcW w:type="dxa" w:w="850"/>
            <w:tcMar>
              <w:top w:type="dxa" w:w="60"/>
              <w:left w:type="dxa" w:w="90"/>
              <w:bottom w:type="dxa" w:w="60"/>
              <w:right w:type="dxa" w:w="90"/>
            </w:tcMar>
          </w:tcPr>
          <w:p>
            <w:r>
              <w:rPr>
                <w:b w:val="false"/>
                <w:bCs w:val="false"/>
                <w:color w:val="000000"/>
                <w:sz w:val="17"/>
                <w:szCs w:val="17"/>
              </w:rPr>
              <w:t xml:space="preserve">T1486</w:t>
            </w:r>
          </w:p>
        </w:tc>
        <w:tc>
          <w:tcPr>
            <w:tcW w:type="dxa" w:w="4400"/>
            <w:tcMar>
              <w:top w:type="dxa" w:w="60"/>
              <w:left w:type="dxa" w:w="90"/>
              <w:bottom w:type="dxa" w:w="60"/>
              <w:right w:type="dxa" w:w="90"/>
            </w:tcMar>
          </w:tcPr>
          <w:p>
            <w:r>
              <w:rPr>
                <w:b w:val="false"/>
                <w:bCs w:val="false"/>
                <w:color w:val="000000"/>
                <w:sz w:val="18"/>
                <w:szCs w:val="18"/>
              </w:rPr>
              <w:t xml:space="preserve">Cring/Ghost/ElysiumO/Locker .exe; scoped or full-disk</w:t>
            </w:r>
          </w:p>
        </w:tc>
        <w:tc>
          <w:tcPr>
            <w:tcW w:type="dxa" w:w="950"/>
            <w:tcMar>
              <w:top w:type="dxa" w:w="60"/>
              <w:left w:type="dxa" w:w="90"/>
              <w:bottom w:type="dxa" w:w="60"/>
              <w:right w:type="dxa" w:w="90"/>
            </w:tcMar>
          </w:tcPr>
          <w:p>
            <w:r>
              <w:rPr>
                <w:b/>
                <w:bCs/>
                <w:color w:val="1E7B34"/>
                <w:sz w:val="18"/>
                <w:szCs w:val="18"/>
              </w:rPr>
              <w:t xml:space="preserve">High</w:t>
            </w:r>
          </w:p>
        </w:tc>
      </w:tr>
      <w:tr>
        <w:tc>
          <w:tcPr>
            <w:tcW w:type="dxa" w:w="1250"/>
            <w:tcMar>
              <w:top w:type="dxa" w:w="60"/>
              <w:left w:type="dxa" w:w="90"/>
              <w:bottom w:type="dxa" w:w="60"/>
              <w:right w:type="dxa" w:w="90"/>
            </w:tcMar>
          </w:tcPr>
          <w:p>
            <w:r>
              <w:rPr>
                <w:b w:val="false"/>
                <w:bCs w:val="false"/>
                <w:color w:val="000000"/>
                <w:sz w:val="18"/>
                <w:szCs w:val="18"/>
              </w:rPr>
              <w:t xml:space="preserve">Impact</w:t>
            </w:r>
          </w:p>
        </w:tc>
        <w:tc>
          <w:tcPr>
            <w:tcW w:type="dxa" w:w="1750"/>
            <w:tcMar>
              <w:top w:type="dxa" w:w="60"/>
              <w:left w:type="dxa" w:w="90"/>
              <w:bottom w:type="dxa" w:w="60"/>
              <w:right w:type="dxa" w:w="90"/>
            </w:tcMar>
          </w:tcPr>
          <w:p>
            <w:r>
              <w:rPr>
                <w:b w:val="false"/>
                <w:bCs w:val="false"/>
                <w:color w:val="000000"/>
                <w:sz w:val="18"/>
                <w:szCs w:val="18"/>
              </w:rPr>
              <w:t xml:space="preserve">Inhibit System Recovery</w:t>
            </w:r>
          </w:p>
        </w:tc>
        <w:tc>
          <w:tcPr>
            <w:tcW w:type="dxa" w:w="850"/>
            <w:tcMar>
              <w:top w:type="dxa" w:w="60"/>
              <w:left w:type="dxa" w:w="90"/>
              <w:bottom w:type="dxa" w:w="60"/>
              <w:right w:type="dxa" w:w="90"/>
            </w:tcMar>
          </w:tcPr>
          <w:p>
            <w:r>
              <w:rPr>
                <w:b w:val="false"/>
                <w:bCs w:val="false"/>
                <w:color w:val="000000"/>
                <w:sz w:val="17"/>
                <w:szCs w:val="17"/>
              </w:rPr>
              <w:t xml:space="preserve">T1490</w:t>
            </w:r>
          </w:p>
        </w:tc>
        <w:tc>
          <w:tcPr>
            <w:tcW w:type="dxa" w:w="4400"/>
            <w:tcMar>
              <w:top w:type="dxa" w:w="60"/>
              <w:left w:type="dxa" w:w="90"/>
              <w:bottom w:type="dxa" w:w="60"/>
              <w:right w:type="dxa" w:w="90"/>
            </w:tcMar>
          </w:tcPr>
          <w:p>
            <w:r>
              <w:rPr>
                <w:b w:val="false"/>
                <w:bCs w:val="false"/>
                <w:color w:val="000000"/>
                <w:sz w:val="18"/>
                <w:szCs w:val="18"/>
              </w:rPr>
              <w:t xml:space="preserve">Disables VSS and deletes shadow copies</w:t>
            </w:r>
          </w:p>
        </w:tc>
        <w:tc>
          <w:tcPr>
            <w:tcW w:type="dxa" w:w="950"/>
            <w:tcMar>
              <w:top w:type="dxa" w:w="60"/>
              <w:left w:type="dxa" w:w="90"/>
              <w:bottom w:type="dxa" w:w="60"/>
              <w:right w:type="dxa" w:w="90"/>
            </w:tcMar>
          </w:tcPr>
          <w:p>
            <w:r>
              <w:rPr>
                <w:b/>
                <w:bCs/>
                <w:color w:val="1E7B34"/>
                <w:sz w:val="18"/>
                <w:szCs w:val="18"/>
              </w:rPr>
              <w:t xml:space="preserve">High</w:t>
            </w:r>
          </w:p>
        </w:tc>
      </w:tr>
    </w:tbl>
    <w:p>
      <w:pPr>
        <w:spacing w:after="60"/>
      </w:pPr>
    </w:p>
    <w:p>
      <w:pPr>
        <w:pStyle w:val="Heading2"/>
        <w:spacing w:after="90" w:before="220"/>
      </w:pPr>
      <w:r>
        <w:rPr>
          <w:b/>
          <w:bCs/>
          <w:color w:val="2E74B5"/>
          <w:sz w:val="24"/>
          <w:szCs w:val="24"/>
        </w:rPr>
        <w:t xml:space="preserve">CVEs Exploited for Initial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400"/>
      </w:tblGrid>
      <w:tr>
        <w:trPr>
          <w:tblHeader/>
        </w:trPr>
        <w:tc>
          <w:tcPr>
            <w:tcW w:type="dxa" w:w="1900"/>
            <w:shd w:fill="1F3864" w:val="clear"/>
            <w:tcMar>
              <w:top w:type="dxa" w:w="60"/>
              <w:left w:type="dxa" w:w="90"/>
              <w:bottom w:type="dxa" w:w="60"/>
              <w:right w:type="dxa" w:w="90"/>
            </w:tcMar>
          </w:tcPr>
          <w:p>
            <w:r>
              <w:rPr>
                <w:b/>
                <w:bCs/>
                <w:color w:val="FFFFFF"/>
                <w:sz w:val="18"/>
                <w:szCs w:val="18"/>
              </w:rPr>
              <w:t xml:space="preserve">CVE</w:t>
            </w:r>
          </w:p>
        </w:tc>
        <w:tc>
          <w:tcPr>
            <w:tcW w:type="dxa" w:w="2900"/>
            <w:shd w:fill="1F3864" w:val="clear"/>
            <w:tcMar>
              <w:top w:type="dxa" w:w="60"/>
              <w:left w:type="dxa" w:w="90"/>
              <w:bottom w:type="dxa" w:w="60"/>
              <w:right w:type="dxa" w:w="90"/>
            </w:tcMar>
          </w:tcPr>
          <w:p>
            <w:r>
              <w:rPr>
                <w:b/>
                <w:bCs/>
                <w:color w:val="FFFFFF"/>
                <w:sz w:val="18"/>
                <w:szCs w:val="18"/>
              </w:rPr>
              <w:t xml:space="preserve">Product</w:t>
            </w:r>
          </w:p>
        </w:tc>
        <w:tc>
          <w:tcPr>
            <w:tcW w:type="dxa" w:w="4400"/>
            <w:shd w:fill="1F3864" w:val="clear"/>
            <w:tcMar>
              <w:top w:type="dxa" w:w="60"/>
              <w:left w:type="dxa" w:w="90"/>
              <w:bottom w:type="dxa" w:w="60"/>
              <w:right w:type="dxa" w:w="90"/>
            </w:tcMar>
          </w:tcPr>
          <w:p>
            <w:r>
              <w:rPr>
                <w:b/>
                <w:bCs/>
                <w:color w:val="FFFFFF"/>
                <w:sz w:val="18"/>
                <w:szCs w:val="18"/>
              </w:rPr>
              <w:t xml:space="preserve">Note</w:t>
            </w:r>
          </w:p>
        </w:tc>
      </w:tr>
      <w:tr>
        <w:tc>
          <w:tcPr>
            <w:tcW w:type="dxa" w:w="1900"/>
            <w:tcMar>
              <w:top w:type="dxa" w:w="60"/>
              <w:left w:type="dxa" w:w="90"/>
              <w:bottom w:type="dxa" w:w="60"/>
              <w:right w:type="dxa" w:w="90"/>
            </w:tcMar>
          </w:tcPr>
          <w:p>
            <w:r>
              <w:rPr>
                <w:b w:val="false"/>
                <w:bCs w:val="false"/>
                <w:color w:val="000000"/>
                <w:sz w:val="17"/>
                <w:szCs w:val="17"/>
              </w:rPr>
              <w:t xml:space="preserve">CVE-2018-13379</w:t>
            </w:r>
          </w:p>
        </w:tc>
        <w:tc>
          <w:tcPr>
            <w:tcW w:type="dxa" w:w="2900"/>
            <w:tcMar>
              <w:top w:type="dxa" w:w="60"/>
              <w:left w:type="dxa" w:w="90"/>
              <w:bottom w:type="dxa" w:w="60"/>
              <w:right w:type="dxa" w:w="90"/>
            </w:tcMar>
          </w:tcPr>
          <w:p>
            <w:r>
              <w:rPr>
                <w:b w:val="false"/>
                <w:bCs w:val="false"/>
                <w:color w:val="000000"/>
                <w:sz w:val="18"/>
                <w:szCs w:val="18"/>
              </w:rPr>
              <w:t xml:space="preserve">Fortinet FortiOS SSL VPN</w:t>
            </w:r>
          </w:p>
        </w:tc>
        <w:tc>
          <w:tcPr>
            <w:tcW w:type="dxa" w:w="4400"/>
            <w:tcMar>
              <w:top w:type="dxa" w:w="60"/>
              <w:left w:type="dxa" w:w="90"/>
              <w:bottom w:type="dxa" w:w="60"/>
              <w:right w:type="dxa" w:w="90"/>
            </w:tcMar>
          </w:tcPr>
          <w:p>
            <w:r>
              <w:rPr>
                <w:b w:val="false"/>
                <w:bCs w:val="false"/>
                <w:color w:val="000000"/>
                <w:sz w:val="18"/>
                <w:szCs w:val="18"/>
              </w:rPr>
              <w:t xml:space="preserve">Path traversal / credential disclosure</w:t>
            </w:r>
          </w:p>
        </w:tc>
      </w:tr>
      <w:tr>
        <w:tc>
          <w:tcPr>
            <w:tcW w:type="dxa" w:w="1900"/>
            <w:tcMar>
              <w:top w:type="dxa" w:w="60"/>
              <w:left w:type="dxa" w:w="90"/>
              <w:bottom w:type="dxa" w:w="60"/>
              <w:right w:type="dxa" w:w="90"/>
            </w:tcMar>
          </w:tcPr>
          <w:p>
            <w:r>
              <w:rPr>
                <w:b w:val="false"/>
                <w:bCs w:val="false"/>
                <w:color w:val="000000"/>
                <w:sz w:val="17"/>
                <w:szCs w:val="17"/>
              </w:rPr>
              <w:t xml:space="preserve">CVE-2010-2861</w:t>
            </w:r>
          </w:p>
        </w:tc>
        <w:tc>
          <w:tcPr>
            <w:tcW w:type="dxa" w:w="2900"/>
            <w:tcMar>
              <w:top w:type="dxa" w:w="60"/>
              <w:left w:type="dxa" w:w="90"/>
              <w:bottom w:type="dxa" w:w="60"/>
              <w:right w:type="dxa" w:w="90"/>
            </w:tcMar>
          </w:tcPr>
          <w:p>
            <w:r>
              <w:rPr>
                <w:b w:val="false"/>
                <w:bCs w:val="false"/>
                <w:color w:val="000000"/>
                <w:sz w:val="18"/>
                <w:szCs w:val="18"/>
              </w:rPr>
              <w:t xml:space="preserve">Adobe ColdFusion</w:t>
            </w:r>
          </w:p>
        </w:tc>
        <w:tc>
          <w:tcPr>
            <w:tcW w:type="dxa" w:w="4400"/>
            <w:tcMar>
              <w:top w:type="dxa" w:w="60"/>
              <w:left w:type="dxa" w:w="90"/>
              <w:bottom w:type="dxa" w:w="60"/>
              <w:right w:type="dxa" w:w="90"/>
            </w:tcMar>
          </w:tcPr>
          <w:p>
            <w:r>
              <w:rPr>
                <w:b w:val="false"/>
                <w:bCs w:val="false"/>
                <w:color w:val="000000"/>
                <w:sz w:val="18"/>
                <w:szCs w:val="18"/>
              </w:rPr>
              <w:t xml:space="preserve">Directory traversal</w:t>
            </w:r>
          </w:p>
        </w:tc>
      </w:tr>
      <w:tr>
        <w:tc>
          <w:tcPr>
            <w:tcW w:type="dxa" w:w="1900"/>
            <w:tcMar>
              <w:top w:type="dxa" w:w="60"/>
              <w:left w:type="dxa" w:w="90"/>
              <w:bottom w:type="dxa" w:w="60"/>
              <w:right w:type="dxa" w:w="90"/>
            </w:tcMar>
          </w:tcPr>
          <w:p>
            <w:r>
              <w:rPr>
                <w:b w:val="false"/>
                <w:bCs w:val="false"/>
                <w:color w:val="000000"/>
                <w:sz w:val="17"/>
                <w:szCs w:val="17"/>
              </w:rPr>
              <w:t xml:space="preserve">CVE-2009-3960</w:t>
            </w:r>
          </w:p>
        </w:tc>
        <w:tc>
          <w:tcPr>
            <w:tcW w:type="dxa" w:w="2900"/>
            <w:tcMar>
              <w:top w:type="dxa" w:w="60"/>
              <w:left w:type="dxa" w:w="90"/>
              <w:bottom w:type="dxa" w:w="60"/>
              <w:right w:type="dxa" w:w="90"/>
            </w:tcMar>
          </w:tcPr>
          <w:p>
            <w:r>
              <w:rPr>
                <w:b w:val="false"/>
                <w:bCs w:val="false"/>
                <w:color w:val="000000"/>
                <w:sz w:val="18"/>
                <w:szCs w:val="18"/>
              </w:rPr>
              <w:t xml:space="preserve">Adobe ColdFusion (BlazeDS)</w:t>
            </w:r>
          </w:p>
        </w:tc>
        <w:tc>
          <w:tcPr>
            <w:tcW w:type="dxa" w:w="4400"/>
            <w:tcMar>
              <w:top w:type="dxa" w:w="60"/>
              <w:left w:type="dxa" w:w="90"/>
              <w:bottom w:type="dxa" w:w="60"/>
              <w:right w:type="dxa" w:w="90"/>
            </w:tcMar>
          </w:tcPr>
          <w:p>
            <w:r>
              <w:rPr>
                <w:b w:val="false"/>
                <w:bCs w:val="false"/>
                <w:color w:val="000000"/>
                <w:sz w:val="18"/>
                <w:szCs w:val="18"/>
              </w:rPr>
              <w:t xml:space="preserve">XML external entity</w:t>
            </w:r>
          </w:p>
        </w:tc>
      </w:tr>
      <w:tr>
        <w:tc>
          <w:tcPr>
            <w:tcW w:type="dxa" w:w="1900"/>
            <w:tcMar>
              <w:top w:type="dxa" w:w="60"/>
              <w:left w:type="dxa" w:w="90"/>
              <w:bottom w:type="dxa" w:w="60"/>
              <w:right w:type="dxa" w:w="90"/>
            </w:tcMar>
          </w:tcPr>
          <w:p>
            <w:r>
              <w:rPr>
                <w:b w:val="false"/>
                <w:bCs w:val="false"/>
                <w:color w:val="000000"/>
                <w:sz w:val="17"/>
                <w:szCs w:val="17"/>
              </w:rPr>
              <w:t xml:space="preserve">CVE-2019-0604</w:t>
            </w:r>
          </w:p>
        </w:tc>
        <w:tc>
          <w:tcPr>
            <w:tcW w:type="dxa" w:w="2900"/>
            <w:tcMar>
              <w:top w:type="dxa" w:w="60"/>
              <w:left w:type="dxa" w:w="90"/>
              <w:bottom w:type="dxa" w:w="60"/>
              <w:right w:type="dxa" w:w="90"/>
            </w:tcMar>
          </w:tcPr>
          <w:p>
            <w:r>
              <w:rPr>
                <w:b w:val="false"/>
                <w:bCs w:val="false"/>
                <w:color w:val="000000"/>
                <w:sz w:val="18"/>
                <w:szCs w:val="18"/>
              </w:rPr>
              <w:t xml:space="preserve">Microsoft SharePoint</w:t>
            </w:r>
          </w:p>
        </w:tc>
        <w:tc>
          <w:tcPr>
            <w:tcW w:type="dxa" w:w="4400"/>
            <w:tcMar>
              <w:top w:type="dxa" w:w="60"/>
              <w:left w:type="dxa" w:w="90"/>
              <w:bottom w:type="dxa" w:w="60"/>
              <w:right w:type="dxa" w:w="90"/>
            </w:tcMar>
          </w:tcPr>
          <w:p>
            <w:r>
              <w:rPr>
                <w:b w:val="false"/>
                <w:bCs w:val="false"/>
                <w:color w:val="000000"/>
                <w:sz w:val="18"/>
                <w:szCs w:val="18"/>
              </w:rPr>
              <w:t xml:space="preserve">Deserialization RCE</w:t>
            </w:r>
          </w:p>
        </w:tc>
      </w:tr>
      <w:tr>
        <w:tc>
          <w:tcPr>
            <w:tcW w:type="dxa" w:w="1900"/>
            <w:tcMar>
              <w:top w:type="dxa" w:w="60"/>
              <w:left w:type="dxa" w:w="90"/>
              <w:bottom w:type="dxa" w:w="60"/>
              <w:right w:type="dxa" w:w="90"/>
            </w:tcMar>
          </w:tcPr>
          <w:p>
            <w:r>
              <w:rPr>
                <w:b w:val="false"/>
                <w:bCs w:val="false"/>
                <w:color w:val="000000"/>
                <w:sz w:val="17"/>
                <w:szCs w:val="17"/>
              </w:rPr>
              <w:t xml:space="preserve">CVE-2021-34473 / -34523 / -31207</w:t>
            </w:r>
          </w:p>
        </w:tc>
        <w:tc>
          <w:tcPr>
            <w:tcW w:type="dxa" w:w="2900"/>
            <w:tcMar>
              <w:top w:type="dxa" w:w="60"/>
              <w:left w:type="dxa" w:w="90"/>
              <w:bottom w:type="dxa" w:w="60"/>
              <w:right w:type="dxa" w:w="90"/>
            </w:tcMar>
          </w:tcPr>
          <w:p>
            <w:r>
              <w:rPr>
                <w:b w:val="false"/>
                <w:bCs w:val="false"/>
                <w:color w:val="000000"/>
                <w:sz w:val="18"/>
                <w:szCs w:val="18"/>
              </w:rPr>
              <w:t xml:space="preserve">Microsoft Exchange</w:t>
            </w:r>
          </w:p>
        </w:tc>
        <w:tc>
          <w:tcPr>
            <w:tcW w:type="dxa" w:w="4400"/>
            <w:tcMar>
              <w:top w:type="dxa" w:w="60"/>
              <w:left w:type="dxa" w:w="90"/>
              <w:bottom w:type="dxa" w:w="60"/>
              <w:right w:type="dxa" w:w="90"/>
            </w:tcMar>
          </w:tcPr>
          <w:p>
            <w:r>
              <w:rPr>
                <w:b w:val="false"/>
                <w:bCs w:val="false"/>
                <w:color w:val="000000"/>
                <w:sz w:val="18"/>
                <w:szCs w:val="18"/>
              </w:rPr>
              <w:t xml:space="preserve">ProxyShell chain</w:t>
            </w:r>
          </w:p>
        </w:tc>
      </w:tr>
    </w:tbl>
    <w:p>
      <w:pPr>
        <w:spacing w:after="100"/>
      </w:pPr>
    </w:p>
    <w:p>
      <w:pPr>
        <w:spacing w:after="120" w:line="276"/>
      </w:pPr>
      <w:r>
        <w:rPr>
          <w:i/>
          <w:iCs/>
          <w:color w:val="595959"/>
          <w:sz w:val="19"/>
          <w:szCs w:val="19"/>
        </w:rPr>
        <w:t xml:space="preserve">Post-access CVEs used by their tooling: CVE-2020-1472 (ZeroLogon, via SharpZeroLogon), CVE-2014-1812 (GPP passwords, via SharpGPPPass), CVE-2017-0143 / CVE-2017-0144 (MS17-010 scanning, via Ladon 911).</w:t>
      </w:r>
    </w:p>
    <w:p>
      <w:pPr>
        <w:pBdr>
          <w:left w:val="single" w:color="B45F06" w:sz="24"/>
        </w:pBdr>
        <w:shd w:fill="FFF2E6" w:val="clear"/>
        <w:spacing w:after="120" w:before="160"/>
      </w:pPr>
      <w:r>
        <w:rPr>
          <w:b/>
          <w:bCs/>
          <w:color w:val="B45F06"/>
          <w:sz w:val="20"/>
          <w:szCs w:val="20"/>
        </w:rPr>
        <w:t xml:space="preserve">  Source discrepancy: </w:t>
      </w:r>
      <w:r>
        <w:rPr>
          <w:sz w:val="20"/>
          <w:szCs w:val="20"/>
        </w:rPr>
        <w:t xml:space="preserve">the advisory's own key-takeaways box omits CVE-2019-0604 (SharePoint), which is named in the Initial Access body text. Patch scope should follow the body, not the summary box.</w:t>
      </w:r>
    </w:p>
    <w:p>
      <w:r>
        <w:br w:type="page"/>
      </w:r>
    </w:p>
    <w:p>
      <w:pPr>
        <w:pStyle w:val="Heading1"/>
        <w:spacing w:after="140" w:before="340"/>
      </w:pPr>
      <w:r>
        <w:rPr>
          <w:b/>
          <w:bCs/>
          <w:color w:val="1F3864"/>
          <w:sz w:val="30"/>
          <w:szCs w:val="30"/>
        </w:rPr>
        <w:t xml:space="preserve">3.  Indicators of Compromise</w:t>
      </w:r>
    </w:p>
    <w:p>
      <w:pPr>
        <w:pStyle w:val="Heading2"/>
        <w:spacing w:after="90" w:before="220"/>
      </w:pPr>
      <w:r>
        <w:rPr>
          <w:b/>
          <w:bCs/>
          <w:color w:val="2E74B5"/>
          <w:sz w:val="24"/>
          <w:szCs w:val="24"/>
        </w:rPr>
        <w:t xml:space="preserve">High-Value Behavioural IOC – Defender-Disable Command</w:t>
      </w:r>
    </w:p>
    <w:p>
      <w:pPr>
        <w:spacing w:after="120" w:line="276"/>
      </w:pPr>
      <w:r>
        <w:rPr>
          <w:sz w:val="21"/>
          <w:szCs w:val="21"/>
        </w:rPr>
        <w:t xml:space="preserve">The single most detectable artifact in the advisory. Ghost “frequently” runs:</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color w:val="000000"/>
          <w:sz w:val="18"/>
          <w:szCs w:val="18"/>
        </w:rPr>
        <w:t xml:space="preserve">Set-MpPreference -DisableRealtimeMonitoring 1 -DisableIntrusionPreventionSystem 1
-DisableBehaviorMonitoring 1 -DisableScriptScanning 1 -DisableIOAVProtection 1
-EnableControlledFolderAccess Disabled -MAPSReporting Disabled -SubmitSamplesConsent NeverSend</w:t>
      </w:r>
    </w:p>
    <w:p>
      <w:pPr>
        <w:pStyle w:val="Heading2"/>
        <w:spacing w:after="90" w:before="220"/>
      </w:pPr>
      <w:r>
        <w:rPr>
          <w:b/>
          <w:bCs/>
          <w:color w:val="2E74B5"/>
          <w:sz w:val="24"/>
          <w:szCs w:val="24"/>
        </w:rPr>
        <w:t xml:space="preserve">High-Value Behavioural IOC – Lateral Movement Command Prefix</w:t>
      </w:r>
    </w:p>
    <w:p>
      <w:pPr>
        <w:spacing w:after="120" w:line="276"/>
      </w:pPr>
      <w:r>
        <w:rPr>
          <w:sz w:val="21"/>
          <w:szCs w:val="21"/>
        </w:rPr>
        <w:t xml:space="preserve">Every observed lateral-movement invocation begins with this exact string, which decodes to the standard Cobalt Strike in-memory loader stub. The constant prefix makes this a reliable string-match detection:</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color w:val="000000"/>
          <w:sz w:val="18"/>
          <w:szCs w:val="18"/>
        </w:rPr>
        <w:t xml:space="preserve">powershell -nop -w hidden -encodedcommand JABzAD0ATgBlAHcALQBPAGIAagBlAGMAdAAg
AEkATwAuAE0AZQBtAG8AcgB5AFMAdAByAGUAYQBtACgALABbAEMAbwBuAHYAZQByAHQAXQA6ADoA...</w:t>
      </w:r>
    </w:p>
    <w:p>
      <w:pPr>
        <w:pStyle w:val="Heading2"/>
        <w:spacing w:after="90" w:before="220"/>
      </w:pPr>
      <w:r>
        <w:rPr>
          <w:b/>
          <w:bCs/>
          <w:color w:val="2E74B5"/>
          <w:sz w:val="24"/>
          <w:szCs w:val="24"/>
        </w:rPr>
        <w:t xml:space="preserve">File Hashes (MD5)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60"/>
              <w:left w:type="dxa" w:w="90"/>
              <w:bottom w:type="dxa" w:w="60"/>
              <w:right w:type="dxa" w:w="90"/>
            </w:tcMar>
          </w:tcPr>
          <w:p>
            <w:r>
              <w:rPr>
                <w:b/>
                <w:bCs/>
                <w:color w:val="FFFFFF"/>
                <w:sz w:val="18"/>
                <w:szCs w:val="18"/>
              </w:rPr>
              <w:t xml:space="preserve">File name</w:t>
            </w:r>
          </w:p>
        </w:tc>
        <w:tc>
          <w:tcPr>
            <w:tcW w:type="dxa" w:w="6600"/>
            <w:shd w:fill="1F3864" w:val="clear"/>
            <w:tcMar>
              <w:top w:type="dxa" w:w="60"/>
              <w:left w:type="dxa" w:w="90"/>
              <w:bottom w:type="dxa" w:w="60"/>
              <w:right w:type="dxa" w:w="90"/>
            </w:tcMar>
          </w:tcPr>
          <w:p>
            <w:r>
              <w:rPr>
                <w:b/>
                <w:bCs/>
                <w:color w:val="FFFFFF"/>
                <w:sz w:val="18"/>
                <w:szCs w:val="18"/>
              </w:rPr>
              <w:t xml:space="preserve">MD5</w:t>
            </w:r>
          </w:p>
        </w:tc>
      </w:tr>
      <w:tr>
        <w:tc>
          <w:tcPr>
            <w:tcW w:type="dxa" w:w="2600"/>
            <w:tcMar>
              <w:top w:type="dxa" w:w="60"/>
              <w:left w:type="dxa" w:w="90"/>
              <w:bottom w:type="dxa" w:w="60"/>
              <w:right w:type="dxa" w:w="90"/>
            </w:tcMar>
          </w:tcPr>
          <w:p>
            <w:r>
              <w:rPr>
                <w:b w:val="false"/>
                <w:bCs w:val="false"/>
                <w:color w:val="000000"/>
                <w:sz w:val="18"/>
                <w:szCs w:val="18"/>
              </w:rPr>
              <w:t xml:space="preserve">Cring.exe</w:t>
            </w:r>
          </w:p>
        </w:tc>
        <w:tc>
          <w:tcPr>
            <w:tcW w:type="dxa" w:w="6600"/>
            <w:tcMar>
              <w:top w:type="dxa" w:w="60"/>
              <w:left w:type="dxa" w:w="90"/>
              <w:bottom w:type="dxa" w:w="60"/>
              <w:right w:type="dxa" w:w="90"/>
            </w:tcMar>
          </w:tcPr>
          <w:p>
            <w:r>
              <w:rPr>
                <w:b w:val="false"/>
                <w:bCs w:val="false"/>
                <w:color w:val="000000"/>
                <w:sz w:val="17"/>
                <w:szCs w:val="17"/>
              </w:rPr>
              <w:t xml:space="preserve">c5d712f82d5d37bb284acd4468ab3533</w:t>
            </w:r>
          </w:p>
        </w:tc>
      </w:tr>
      <w:tr>
        <w:tc>
          <w:tcPr>
            <w:tcW w:type="dxa" w:w="2600"/>
            <w:tcMar>
              <w:top w:type="dxa" w:w="60"/>
              <w:left w:type="dxa" w:w="90"/>
              <w:bottom w:type="dxa" w:w="60"/>
              <w:right w:type="dxa" w:w="90"/>
            </w:tcMar>
          </w:tcPr>
          <w:p>
            <w:r>
              <w:rPr>
                <w:b w:val="false"/>
                <w:bCs w:val="false"/>
                <w:color w:val="000000"/>
                <w:sz w:val="18"/>
                <w:szCs w:val="18"/>
              </w:rPr>
              <w:t xml:space="preserve">Ghost.exe</w:t>
            </w:r>
          </w:p>
        </w:tc>
        <w:tc>
          <w:tcPr>
            <w:tcW w:type="dxa" w:w="6600"/>
            <w:tcMar>
              <w:top w:type="dxa" w:w="60"/>
              <w:left w:type="dxa" w:w="90"/>
              <w:bottom w:type="dxa" w:w="60"/>
              <w:right w:type="dxa" w:w="90"/>
            </w:tcMar>
          </w:tcPr>
          <w:p>
            <w:r>
              <w:rPr>
                <w:b w:val="false"/>
                <w:bCs w:val="false"/>
                <w:color w:val="000000"/>
                <w:sz w:val="17"/>
                <w:szCs w:val="17"/>
              </w:rPr>
              <w:t xml:space="preserve">34b3009590ec2d361f07cac320671410</w:t>
            </w:r>
          </w:p>
        </w:tc>
      </w:tr>
      <w:tr>
        <w:tc>
          <w:tcPr>
            <w:tcW w:type="dxa" w:w="2600"/>
            <w:tcMar>
              <w:top w:type="dxa" w:w="60"/>
              <w:left w:type="dxa" w:w="90"/>
              <w:bottom w:type="dxa" w:w="60"/>
              <w:right w:type="dxa" w:w="90"/>
            </w:tcMar>
          </w:tcPr>
          <w:p>
            <w:r>
              <w:rPr>
                <w:b w:val="false"/>
                <w:bCs w:val="false"/>
                <w:color w:val="000000"/>
                <w:sz w:val="18"/>
                <w:szCs w:val="18"/>
              </w:rPr>
              <w:t xml:space="preserve">Ghost.exe</w:t>
            </w:r>
          </w:p>
        </w:tc>
        <w:tc>
          <w:tcPr>
            <w:tcW w:type="dxa" w:w="6600"/>
            <w:tcMar>
              <w:top w:type="dxa" w:w="60"/>
              <w:left w:type="dxa" w:w="90"/>
              <w:bottom w:type="dxa" w:w="60"/>
              <w:right w:type="dxa" w:w="90"/>
            </w:tcMar>
          </w:tcPr>
          <w:p>
            <w:r>
              <w:rPr>
                <w:b w:val="false"/>
                <w:bCs w:val="false"/>
                <w:color w:val="000000"/>
                <w:sz w:val="17"/>
                <w:szCs w:val="17"/>
              </w:rPr>
              <w:t xml:space="preserve">d9c019182d88290e5489cdf3b607f982</w:t>
            </w:r>
          </w:p>
        </w:tc>
      </w:tr>
      <w:tr>
        <w:tc>
          <w:tcPr>
            <w:tcW w:type="dxa" w:w="2600"/>
            <w:tcMar>
              <w:top w:type="dxa" w:w="60"/>
              <w:left w:type="dxa" w:w="90"/>
              <w:bottom w:type="dxa" w:w="60"/>
              <w:right w:type="dxa" w:w="90"/>
            </w:tcMar>
          </w:tcPr>
          <w:p>
            <w:r>
              <w:rPr>
                <w:b w:val="false"/>
                <w:bCs w:val="false"/>
                <w:color w:val="000000"/>
                <w:sz w:val="18"/>
                <w:szCs w:val="18"/>
              </w:rPr>
              <w:t xml:space="preserve">ElysiumO.exe</w:t>
            </w:r>
          </w:p>
        </w:tc>
        <w:tc>
          <w:tcPr>
            <w:tcW w:type="dxa" w:w="6600"/>
            <w:tcMar>
              <w:top w:type="dxa" w:w="60"/>
              <w:left w:type="dxa" w:w="90"/>
              <w:bottom w:type="dxa" w:w="60"/>
              <w:right w:type="dxa" w:w="90"/>
            </w:tcMar>
          </w:tcPr>
          <w:p>
            <w:r>
              <w:rPr>
                <w:b w:val="false"/>
                <w:bCs w:val="false"/>
                <w:color w:val="000000"/>
                <w:sz w:val="17"/>
                <w:szCs w:val="17"/>
              </w:rPr>
              <w:t xml:space="preserve">29e44e8994197bdb0c2be6fc5dfc15c2</w:t>
            </w:r>
          </w:p>
        </w:tc>
      </w:tr>
      <w:tr>
        <w:tc>
          <w:tcPr>
            <w:tcW w:type="dxa" w:w="2600"/>
            <w:tcMar>
              <w:top w:type="dxa" w:w="60"/>
              <w:left w:type="dxa" w:w="90"/>
              <w:bottom w:type="dxa" w:w="60"/>
              <w:right w:type="dxa" w:w="90"/>
            </w:tcMar>
          </w:tcPr>
          <w:p>
            <w:r>
              <w:rPr>
                <w:b w:val="false"/>
                <w:bCs w:val="false"/>
                <w:color w:val="000000"/>
                <w:sz w:val="18"/>
                <w:szCs w:val="18"/>
              </w:rPr>
              <w:t xml:space="preserve">ElysiumO.exe</w:t>
            </w:r>
          </w:p>
        </w:tc>
        <w:tc>
          <w:tcPr>
            <w:tcW w:type="dxa" w:w="6600"/>
            <w:tcMar>
              <w:top w:type="dxa" w:w="60"/>
              <w:left w:type="dxa" w:w="90"/>
              <w:bottom w:type="dxa" w:w="60"/>
              <w:right w:type="dxa" w:w="90"/>
            </w:tcMar>
          </w:tcPr>
          <w:p>
            <w:r>
              <w:rPr>
                <w:b w:val="false"/>
                <w:bCs w:val="false"/>
                <w:color w:val="000000"/>
                <w:sz w:val="17"/>
                <w:szCs w:val="17"/>
              </w:rPr>
              <w:t xml:space="preserve">c9e35b5c1dc8856da25965b385a26ec4</w:t>
            </w:r>
          </w:p>
        </w:tc>
      </w:tr>
      <w:tr>
        <w:tc>
          <w:tcPr>
            <w:tcW w:type="dxa" w:w="2600"/>
            <w:tcMar>
              <w:top w:type="dxa" w:w="60"/>
              <w:left w:type="dxa" w:w="90"/>
              <w:bottom w:type="dxa" w:w="60"/>
              <w:right w:type="dxa" w:w="90"/>
            </w:tcMar>
          </w:tcPr>
          <w:p>
            <w:r>
              <w:rPr>
                <w:b w:val="false"/>
                <w:bCs w:val="false"/>
                <w:color w:val="000000"/>
                <w:sz w:val="18"/>
                <w:szCs w:val="18"/>
              </w:rPr>
              <w:t xml:space="preserve">ElysiumO.exe</w:t>
            </w:r>
          </w:p>
        </w:tc>
        <w:tc>
          <w:tcPr>
            <w:tcW w:type="dxa" w:w="6600"/>
            <w:tcMar>
              <w:top w:type="dxa" w:w="60"/>
              <w:left w:type="dxa" w:w="90"/>
              <w:bottom w:type="dxa" w:w="60"/>
              <w:right w:type="dxa" w:w="90"/>
            </w:tcMar>
          </w:tcPr>
          <w:p>
            <w:r>
              <w:rPr>
                <w:b w:val="false"/>
                <w:bCs w:val="false"/>
                <w:color w:val="000000"/>
                <w:sz w:val="17"/>
                <w:szCs w:val="17"/>
              </w:rPr>
              <w:t xml:space="preserve">d1c5e7b8e937625891707f8b4b594314</w:t>
            </w:r>
          </w:p>
        </w:tc>
      </w:tr>
      <w:tr>
        <w:tc>
          <w:tcPr>
            <w:tcW w:type="dxa" w:w="2600"/>
            <w:tcMar>
              <w:top w:type="dxa" w:w="60"/>
              <w:left w:type="dxa" w:w="90"/>
              <w:bottom w:type="dxa" w:w="60"/>
              <w:right w:type="dxa" w:w="90"/>
            </w:tcMar>
          </w:tcPr>
          <w:p>
            <w:r>
              <w:rPr>
                <w:b w:val="false"/>
                <w:bCs w:val="false"/>
                <w:color w:val="000000"/>
                <w:sz w:val="18"/>
                <w:szCs w:val="18"/>
              </w:rPr>
              <w:t xml:space="preserve">Locker.exe</w:t>
            </w:r>
          </w:p>
        </w:tc>
        <w:tc>
          <w:tcPr>
            <w:tcW w:type="dxa" w:w="6600"/>
            <w:tcMar>
              <w:top w:type="dxa" w:w="60"/>
              <w:left w:type="dxa" w:w="90"/>
              <w:bottom w:type="dxa" w:w="60"/>
              <w:right w:type="dxa" w:w="90"/>
            </w:tcMar>
          </w:tcPr>
          <w:p>
            <w:r>
              <w:rPr>
                <w:b w:val="false"/>
                <w:bCs w:val="false"/>
                <w:color w:val="000000"/>
                <w:sz w:val="17"/>
                <w:szCs w:val="17"/>
              </w:rPr>
              <w:t xml:space="preserve">ef6a213f59f3fbee2894bd6734bbaed2</w:t>
            </w:r>
          </w:p>
        </w:tc>
      </w:tr>
      <w:tr>
        <w:tc>
          <w:tcPr>
            <w:tcW w:type="dxa" w:w="2600"/>
            <w:tcMar>
              <w:top w:type="dxa" w:w="60"/>
              <w:left w:type="dxa" w:w="90"/>
              <w:bottom w:type="dxa" w:w="60"/>
              <w:right w:type="dxa" w:w="90"/>
            </w:tcMar>
          </w:tcPr>
          <w:p>
            <w:r>
              <w:rPr>
                <w:b w:val="false"/>
                <w:bCs w:val="false"/>
                <w:color w:val="000000"/>
                <w:sz w:val="18"/>
                <w:szCs w:val="18"/>
              </w:rPr>
              <w:t xml:space="preserve">iex.txt / pro.txt (IOX)</w:t>
            </w:r>
          </w:p>
        </w:tc>
        <w:tc>
          <w:tcPr>
            <w:tcW w:type="dxa" w:w="6600"/>
            <w:tcMar>
              <w:top w:type="dxa" w:w="60"/>
              <w:left w:type="dxa" w:w="90"/>
              <w:bottom w:type="dxa" w:w="60"/>
              <w:right w:type="dxa" w:w="90"/>
            </w:tcMar>
          </w:tcPr>
          <w:p>
            <w:r>
              <w:rPr>
                <w:b w:val="false"/>
                <w:bCs w:val="false"/>
                <w:color w:val="000000"/>
                <w:sz w:val="17"/>
                <w:szCs w:val="17"/>
              </w:rPr>
              <w:t xml:space="preserve">ac58a214ce7deb3a578c10b97f93d9c3</w:t>
            </w:r>
          </w:p>
        </w:tc>
      </w:tr>
      <w:tr>
        <w:tc>
          <w:tcPr>
            <w:tcW w:type="dxa" w:w="2600"/>
            <w:tcMar>
              <w:top w:type="dxa" w:w="60"/>
              <w:left w:type="dxa" w:w="90"/>
              <w:bottom w:type="dxa" w:w="60"/>
              <w:right w:type="dxa" w:w="90"/>
            </w:tcMar>
          </w:tcPr>
          <w:p>
            <w:r>
              <w:rPr>
                <w:b w:val="false"/>
                <w:bCs w:val="false"/>
                <w:color w:val="000000"/>
                <w:sz w:val="18"/>
                <w:szCs w:val="18"/>
              </w:rPr>
              <w:t xml:space="preserve">x86.log (IOX)</w:t>
            </w:r>
          </w:p>
        </w:tc>
        <w:tc>
          <w:tcPr>
            <w:tcW w:type="dxa" w:w="6600"/>
            <w:tcMar>
              <w:top w:type="dxa" w:w="60"/>
              <w:left w:type="dxa" w:w="90"/>
              <w:bottom w:type="dxa" w:w="60"/>
              <w:right w:type="dxa" w:w="90"/>
            </w:tcMar>
          </w:tcPr>
          <w:p>
            <w:r>
              <w:rPr>
                <w:b w:val="false"/>
                <w:bCs w:val="false"/>
                <w:color w:val="000000"/>
                <w:sz w:val="17"/>
                <w:szCs w:val="17"/>
              </w:rPr>
              <w:t xml:space="preserve">c3b8f6d102393b4542e9f951c9435255</w:t>
            </w:r>
          </w:p>
        </w:tc>
      </w:tr>
      <w:tr>
        <w:tc>
          <w:tcPr>
            <w:tcW w:type="dxa" w:w="2600"/>
            <w:tcMar>
              <w:top w:type="dxa" w:w="60"/>
              <w:left w:type="dxa" w:w="90"/>
              <w:bottom w:type="dxa" w:w="60"/>
              <w:right w:type="dxa" w:w="90"/>
            </w:tcMar>
          </w:tcPr>
          <w:p>
            <w:r>
              <w:rPr>
                <w:b w:val="false"/>
                <w:bCs w:val="false"/>
                <w:color w:val="000000"/>
                <w:sz w:val="18"/>
                <w:szCs w:val="18"/>
              </w:rPr>
              <w:t xml:space="preserve">x86.log (IOX)</w:t>
            </w:r>
          </w:p>
        </w:tc>
        <w:tc>
          <w:tcPr>
            <w:tcW w:type="dxa" w:w="6600"/>
            <w:tcMar>
              <w:top w:type="dxa" w:w="60"/>
              <w:left w:type="dxa" w:w="90"/>
              <w:bottom w:type="dxa" w:w="60"/>
              <w:right w:type="dxa" w:w="90"/>
            </w:tcMar>
          </w:tcPr>
          <w:p>
            <w:r>
              <w:rPr>
                <w:b w:val="false"/>
                <w:bCs w:val="false"/>
                <w:color w:val="000000"/>
                <w:sz w:val="17"/>
                <w:szCs w:val="17"/>
              </w:rPr>
              <w:t xml:space="preserve">0a5c4ad3ec240fbfd00bdc1d36bd54eb</w:t>
            </w:r>
          </w:p>
        </w:tc>
      </w:tr>
      <w:tr>
        <w:tc>
          <w:tcPr>
            <w:tcW w:type="dxa" w:w="2600"/>
            <w:tcMar>
              <w:top w:type="dxa" w:w="60"/>
              <w:left w:type="dxa" w:w="90"/>
              <w:bottom w:type="dxa" w:w="60"/>
              <w:right w:type="dxa" w:w="90"/>
            </w:tcMar>
          </w:tcPr>
          <w:p>
            <w:r>
              <w:rPr>
                <w:b w:val="false"/>
                <w:bCs w:val="false"/>
                <w:color w:val="000000"/>
                <w:sz w:val="18"/>
                <w:szCs w:val="18"/>
              </w:rPr>
              <w:t xml:space="preserve">sp.txt (IOX)</w:t>
            </w:r>
          </w:p>
        </w:tc>
        <w:tc>
          <w:tcPr>
            <w:tcW w:type="dxa" w:w="6600"/>
            <w:tcMar>
              <w:top w:type="dxa" w:w="60"/>
              <w:left w:type="dxa" w:w="90"/>
              <w:bottom w:type="dxa" w:w="60"/>
              <w:right w:type="dxa" w:w="90"/>
            </w:tcMar>
          </w:tcPr>
          <w:p>
            <w:r>
              <w:rPr>
                <w:b w:val="false"/>
                <w:bCs w:val="false"/>
                <w:color w:val="000000"/>
                <w:sz w:val="17"/>
                <w:szCs w:val="17"/>
              </w:rPr>
              <w:t xml:space="preserve">ff52fdf84448277b1bc121f592f753c5</w:t>
            </w:r>
          </w:p>
        </w:tc>
      </w:tr>
      <w:tr>
        <w:tc>
          <w:tcPr>
            <w:tcW w:type="dxa" w:w="2600"/>
            <w:tcMar>
              <w:top w:type="dxa" w:w="60"/>
              <w:left w:type="dxa" w:w="90"/>
              <w:bottom w:type="dxa" w:w="60"/>
              <w:right w:type="dxa" w:w="90"/>
            </w:tcMar>
          </w:tcPr>
          <w:p>
            <w:r>
              <w:rPr>
                <w:b w:val="false"/>
                <w:bCs w:val="false"/>
                <w:color w:val="000000"/>
                <w:sz w:val="18"/>
                <w:szCs w:val="18"/>
              </w:rPr>
              <w:t xml:space="preserve">main.txt (IOX)</w:t>
            </w:r>
          </w:p>
        </w:tc>
        <w:tc>
          <w:tcPr>
            <w:tcW w:type="dxa" w:w="6600"/>
            <w:tcMar>
              <w:top w:type="dxa" w:w="60"/>
              <w:left w:type="dxa" w:w="90"/>
              <w:bottom w:type="dxa" w:w="60"/>
              <w:right w:type="dxa" w:w="90"/>
            </w:tcMar>
          </w:tcPr>
          <w:p>
            <w:r>
              <w:rPr>
                <w:b w:val="false"/>
                <w:bCs w:val="false"/>
                <w:color w:val="000000"/>
                <w:sz w:val="17"/>
                <w:szCs w:val="17"/>
              </w:rPr>
              <w:t xml:space="preserve">a2fd181f57548c215ac6891d000ec6b9</w:t>
            </w:r>
          </w:p>
        </w:tc>
      </w:tr>
      <w:tr>
        <w:tc>
          <w:tcPr>
            <w:tcW w:type="dxa" w:w="2600"/>
            <w:tcMar>
              <w:top w:type="dxa" w:w="60"/>
              <w:left w:type="dxa" w:w="90"/>
              <w:bottom w:type="dxa" w:w="60"/>
              <w:right w:type="dxa" w:w="90"/>
            </w:tcMar>
          </w:tcPr>
          <w:p>
            <w:r>
              <w:rPr>
                <w:b w:val="false"/>
                <w:bCs w:val="false"/>
                <w:color w:val="000000"/>
                <w:sz w:val="18"/>
                <w:szCs w:val="18"/>
              </w:rPr>
              <w:t xml:space="preserve">isx.txt (IOX)</w:t>
            </w:r>
          </w:p>
        </w:tc>
        <w:tc>
          <w:tcPr>
            <w:tcW w:type="dxa" w:w="6600"/>
            <w:tcMar>
              <w:top w:type="dxa" w:w="60"/>
              <w:left w:type="dxa" w:w="90"/>
              <w:bottom w:type="dxa" w:w="60"/>
              <w:right w:type="dxa" w:w="90"/>
            </w:tcMar>
          </w:tcPr>
          <w:p>
            <w:r>
              <w:rPr>
                <w:b w:val="false"/>
                <w:bCs w:val="false"/>
                <w:color w:val="000000"/>
                <w:sz w:val="17"/>
                <w:szCs w:val="17"/>
              </w:rPr>
              <w:t xml:space="preserve">625bd7275e1892eac50a22f8b4a6355d</w:t>
            </w:r>
          </w:p>
        </w:tc>
      </w:tr>
      <w:tr>
        <w:tc>
          <w:tcPr>
            <w:tcW w:type="dxa" w:w="2600"/>
            <w:tcMar>
              <w:top w:type="dxa" w:w="60"/>
              <w:left w:type="dxa" w:w="90"/>
              <w:bottom w:type="dxa" w:w="60"/>
              <w:right w:type="dxa" w:w="90"/>
            </w:tcMar>
          </w:tcPr>
          <w:p>
            <w:r>
              <w:rPr>
                <w:b w:val="false"/>
                <w:bCs w:val="false"/>
                <w:color w:val="000000"/>
                <w:sz w:val="18"/>
                <w:szCs w:val="18"/>
              </w:rPr>
              <w:t xml:space="preserve">sock.txt (IOX)</w:t>
            </w:r>
          </w:p>
        </w:tc>
        <w:tc>
          <w:tcPr>
            <w:tcW w:type="dxa" w:w="6600"/>
            <w:tcMar>
              <w:top w:type="dxa" w:w="60"/>
              <w:left w:type="dxa" w:w="90"/>
              <w:bottom w:type="dxa" w:w="60"/>
              <w:right w:type="dxa" w:w="90"/>
            </w:tcMar>
          </w:tcPr>
          <w:p>
            <w:r>
              <w:rPr>
                <w:b w:val="false"/>
                <w:bCs w:val="false"/>
                <w:color w:val="000000"/>
                <w:sz w:val="17"/>
                <w:szCs w:val="17"/>
              </w:rPr>
              <w:t xml:space="preserve">db38ef2e3d4d8cb785df48f458b35090</w:t>
            </w:r>
          </w:p>
        </w:tc>
      </w:tr>
    </w:tbl>
    <w:p>
      <w:pPr>
        <w:spacing w:after="100" w:before="100"/>
      </w:pPr>
      <w:r>
        <w:rPr>
          <w:i/>
          <w:iCs/>
          <w:color w:val="595959"/>
          <w:sz w:val="19"/>
          <w:szCs w:val="19"/>
        </w:rPr>
        <w:t xml:space="preserve">Caveat: MD5-only, and the advisory explicitly states Ghost rotates executables. Treat as low-durability retrospective hunt indicators, not preventive blocklist material. Note the .txt/.log extensions on IOX payloads — masquerading as benign file types is itself a hunt lead.</w:t>
      </w:r>
    </w:p>
    <w:p>
      <w:r>
        <w:br w:type="page"/>
      </w:r>
    </w:p>
    <w:p>
      <w:pPr>
        <w:pStyle w:val="Heading2"/>
        <w:spacing w:after="90" w:before="220"/>
      </w:pPr>
      <w:r>
        <w:rPr>
          <w:b/>
          <w:bCs/>
          <w:color w:val="2E74B5"/>
          <w:sz w:val="24"/>
          <w:szCs w:val="24"/>
        </w:rPr>
        <w:t xml:space="preserve">Tooling (Hunt for Presence, Not Hashes)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400"/>
      </w:tblGrid>
      <w:tr>
        <w:trPr>
          <w:tblHeader/>
        </w:trPr>
        <w:tc>
          <w:tcPr>
            <w:tcW w:type="dxa" w:w="1800"/>
            <w:shd w:fill="1F3864" w:val="clear"/>
            <w:tcMar>
              <w:top w:type="dxa" w:w="60"/>
              <w:left w:type="dxa" w:w="90"/>
              <w:bottom w:type="dxa" w:w="60"/>
              <w:right w:type="dxa" w:w="90"/>
            </w:tcMar>
          </w:tcPr>
          <w:p>
            <w:r>
              <w:rPr>
                <w:b/>
                <w:bCs/>
                <w:color w:val="FFFFFF"/>
                <w:sz w:val="18"/>
                <w:szCs w:val="18"/>
              </w:rPr>
              <w:t xml:space="preserve">Tool</w:t>
            </w:r>
          </w:p>
        </w:tc>
        <w:tc>
          <w:tcPr>
            <w:tcW w:type="dxa" w:w="2000"/>
            <w:shd w:fill="1F3864" w:val="clear"/>
            <w:tcMar>
              <w:top w:type="dxa" w:w="60"/>
              <w:left w:type="dxa" w:w="90"/>
              <w:bottom w:type="dxa" w:w="60"/>
              <w:right w:type="dxa" w:w="90"/>
            </w:tcMar>
          </w:tcPr>
          <w:p>
            <w:r>
              <w:rPr>
                <w:b/>
                <w:bCs/>
                <w:color w:val="FFFFFF"/>
                <w:sz w:val="18"/>
                <w:szCs w:val="18"/>
              </w:rPr>
              <w:t xml:space="preserve">Filename(s)</w:t>
            </w:r>
          </w:p>
        </w:tc>
        <w:tc>
          <w:tcPr>
            <w:tcW w:type="dxa" w:w="5400"/>
            <w:shd w:fill="1F3864" w:val="clear"/>
            <w:tcMar>
              <w:top w:type="dxa" w:w="60"/>
              <w:left w:type="dxa" w:w="90"/>
              <w:bottom w:type="dxa" w:w="60"/>
              <w:right w:type="dxa" w:w="90"/>
            </w:tcMar>
          </w:tcPr>
          <w:p>
            <w:r>
              <w:rPr>
                <w:b/>
                <w:bCs/>
                <w:color w:val="FFFFFF"/>
                <w:sz w:val="18"/>
                <w:szCs w:val="18"/>
              </w:rPr>
              <w:t xml:space="preserve">Purpose</w:t>
            </w:r>
          </w:p>
        </w:tc>
      </w:tr>
      <w:tr>
        <w:tc>
          <w:tcPr>
            <w:tcW w:type="dxa" w:w="1800"/>
            <w:tcMar>
              <w:top w:type="dxa" w:w="60"/>
              <w:left w:type="dxa" w:w="90"/>
              <w:bottom w:type="dxa" w:w="60"/>
              <w:right w:type="dxa" w:w="90"/>
            </w:tcMar>
          </w:tcPr>
          <w:p>
            <w:r>
              <w:rPr>
                <w:b w:val="false"/>
                <w:bCs w:val="false"/>
                <w:color w:val="000000"/>
                <w:sz w:val="18"/>
                <w:szCs w:val="18"/>
              </w:rPr>
              <w:t xml:space="preserve">Cobalt Strike</w:t>
            </w:r>
          </w:p>
        </w:tc>
        <w:tc>
          <w:tcPr>
            <w:tcW w:type="dxa" w:w="2000"/>
            <w:tcMar>
              <w:top w:type="dxa" w:w="60"/>
              <w:left w:type="dxa" w:w="90"/>
              <w:bottom w:type="dxa" w:w="60"/>
              <w:right w:type="dxa" w:w="90"/>
            </w:tcMar>
          </w:tcPr>
          <w:p>
            <w:r>
              <w:rPr>
                <w:b w:val="false"/>
                <w:bCs w:val="false"/>
                <w:color w:val="000000"/>
                <w:sz w:val="16"/>
                <w:szCs w:val="16"/>
              </w:rPr>
              <w:t xml:space="preserve">—</w:t>
            </w:r>
          </w:p>
        </w:tc>
        <w:tc>
          <w:tcPr>
            <w:tcW w:type="dxa" w:w="5400"/>
            <w:tcMar>
              <w:top w:type="dxa" w:w="60"/>
              <w:left w:type="dxa" w:w="90"/>
              <w:bottom w:type="dxa" w:w="60"/>
              <w:right w:type="dxa" w:w="90"/>
            </w:tcMar>
          </w:tcPr>
          <w:p>
            <w:r>
              <w:rPr>
                <w:b w:val="false"/>
                <w:bCs w:val="false"/>
                <w:color w:val="000000"/>
                <w:sz w:val="18"/>
                <w:szCs w:val="18"/>
              </w:rPr>
              <w:t xml:space="preserve">C2 / Beacon (cracked build)</w:t>
            </w:r>
          </w:p>
        </w:tc>
      </w:tr>
      <w:tr>
        <w:tc>
          <w:tcPr>
            <w:tcW w:type="dxa" w:w="1800"/>
            <w:tcMar>
              <w:top w:type="dxa" w:w="60"/>
              <w:left w:type="dxa" w:w="90"/>
              <w:bottom w:type="dxa" w:w="60"/>
              <w:right w:type="dxa" w:w="90"/>
            </w:tcMar>
          </w:tcPr>
          <w:p>
            <w:r>
              <w:rPr>
                <w:b w:val="false"/>
                <w:bCs w:val="false"/>
                <w:color w:val="000000"/>
                <w:sz w:val="18"/>
                <w:szCs w:val="18"/>
              </w:rPr>
              <w:t xml:space="preserve">IOX</w:t>
            </w:r>
          </w:p>
        </w:tc>
        <w:tc>
          <w:tcPr>
            <w:tcW w:type="dxa" w:w="2000"/>
            <w:tcMar>
              <w:top w:type="dxa" w:w="60"/>
              <w:left w:type="dxa" w:w="90"/>
              <w:bottom w:type="dxa" w:w="60"/>
              <w:right w:type="dxa" w:w="90"/>
            </w:tcMar>
          </w:tcPr>
          <w:p>
            <w:r>
              <w:rPr>
                <w:b w:val="false"/>
                <w:bCs w:val="false"/>
                <w:color w:val="000000"/>
                <w:sz w:val="16"/>
                <w:szCs w:val="16"/>
              </w:rPr>
              <w:t xml:space="preserve">iex.txt, pro.txt, x86.log, sp.txt, main.txt, isx.txt, sock.txt</w:t>
            </w:r>
          </w:p>
        </w:tc>
        <w:tc>
          <w:tcPr>
            <w:tcW w:type="dxa" w:w="5400"/>
            <w:tcMar>
              <w:top w:type="dxa" w:w="60"/>
              <w:left w:type="dxa" w:w="90"/>
              <w:bottom w:type="dxa" w:w="60"/>
              <w:right w:type="dxa" w:w="90"/>
            </w:tcMar>
          </w:tcPr>
          <w:p>
            <w:r>
              <w:rPr>
                <w:b w:val="false"/>
                <w:bCs w:val="false"/>
                <w:color w:val="000000"/>
                <w:sz w:val="18"/>
                <w:szCs w:val="18"/>
              </w:rPr>
              <w:t xml:space="preserve">Reverse proxy to C2</w:t>
            </w:r>
          </w:p>
        </w:tc>
      </w:tr>
      <w:tr>
        <w:tc>
          <w:tcPr>
            <w:tcW w:type="dxa" w:w="1800"/>
            <w:tcMar>
              <w:top w:type="dxa" w:w="60"/>
              <w:left w:type="dxa" w:w="90"/>
              <w:bottom w:type="dxa" w:w="60"/>
              <w:right w:type="dxa" w:w="90"/>
            </w:tcMar>
          </w:tcPr>
          <w:p>
            <w:r>
              <w:rPr>
                <w:b w:val="false"/>
                <w:bCs w:val="false"/>
                <w:color w:val="000000"/>
                <w:sz w:val="18"/>
                <w:szCs w:val="18"/>
              </w:rPr>
              <w:t xml:space="preserve">SharpShares</w:t>
            </w:r>
          </w:p>
        </w:tc>
        <w:tc>
          <w:tcPr>
            <w:tcW w:type="dxa" w:w="2000"/>
            <w:tcMar>
              <w:top w:type="dxa" w:w="60"/>
              <w:left w:type="dxa" w:w="90"/>
              <w:bottom w:type="dxa" w:w="60"/>
              <w:right w:type="dxa" w:w="90"/>
            </w:tcMar>
          </w:tcPr>
          <w:p>
            <w:r>
              <w:rPr>
                <w:b w:val="false"/>
                <w:bCs w:val="false"/>
                <w:color w:val="000000"/>
                <w:sz w:val="16"/>
                <w:szCs w:val="16"/>
              </w:rPr>
              <w:t xml:space="preserve">SharpShares.exe</w:t>
            </w:r>
          </w:p>
        </w:tc>
        <w:tc>
          <w:tcPr>
            <w:tcW w:type="dxa" w:w="5400"/>
            <w:tcMar>
              <w:top w:type="dxa" w:w="60"/>
              <w:left w:type="dxa" w:w="90"/>
              <w:bottom w:type="dxa" w:w="60"/>
              <w:right w:type="dxa" w:w="90"/>
            </w:tcMar>
          </w:tcPr>
          <w:p>
            <w:r>
              <w:rPr>
                <w:b w:val="false"/>
                <w:bCs w:val="false"/>
                <w:color w:val="000000"/>
                <w:sz w:val="18"/>
                <w:szCs w:val="18"/>
              </w:rPr>
              <w:t xml:space="preserve">Network share enumeration</w:t>
            </w:r>
          </w:p>
        </w:tc>
      </w:tr>
      <w:tr>
        <w:tc>
          <w:tcPr>
            <w:tcW w:type="dxa" w:w="1800"/>
            <w:tcMar>
              <w:top w:type="dxa" w:w="60"/>
              <w:left w:type="dxa" w:w="90"/>
              <w:bottom w:type="dxa" w:w="60"/>
              <w:right w:type="dxa" w:w="90"/>
            </w:tcMar>
          </w:tcPr>
          <w:p>
            <w:r>
              <w:rPr>
                <w:b w:val="false"/>
                <w:bCs w:val="false"/>
                <w:color w:val="000000"/>
                <w:sz w:val="18"/>
                <w:szCs w:val="18"/>
              </w:rPr>
              <w:t xml:space="preserve">SharpZeroLogon</w:t>
            </w:r>
          </w:p>
        </w:tc>
        <w:tc>
          <w:tcPr>
            <w:tcW w:type="dxa" w:w="2000"/>
            <w:tcMar>
              <w:top w:type="dxa" w:w="60"/>
              <w:left w:type="dxa" w:w="90"/>
              <w:bottom w:type="dxa" w:w="60"/>
              <w:right w:type="dxa" w:w="90"/>
            </w:tcMar>
          </w:tcPr>
          <w:p>
            <w:r>
              <w:rPr>
                <w:b w:val="false"/>
                <w:bCs w:val="false"/>
                <w:color w:val="000000"/>
                <w:sz w:val="16"/>
                <w:szCs w:val="16"/>
              </w:rPr>
              <w:t xml:space="preserve">SharpZeroLogon.exe</w:t>
            </w:r>
          </w:p>
        </w:tc>
        <w:tc>
          <w:tcPr>
            <w:tcW w:type="dxa" w:w="5400"/>
            <w:tcMar>
              <w:top w:type="dxa" w:w="60"/>
              <w:left w:type="dxa" w:w="90"/>
              <w:bottom w:type="dxa" w:w="60"/>
              <w:right w:type="dxa" w:w="90"/>
            </w:tcMar>
          </w:tcPr>
          <w:p>
            <w:r>
              <w:rPr>
                <w:b w:val="false"/>
                <w:bCs w:val="false"/>
                <w:color w:val="000000"/>
                <w:sz w:val="18"/>
                <w:szCs w:val="18"/>
              </w:rPr>
              <w:t xml:space="preserve">CVE-2020-1472 against domain controllers</w:t>
            </w:r>
          </w:p>
        </w:tc>
      </w:tr>
      <w:tr>
        <w:tc>
          <w:tcPr>
            <w:tcW w:type="dxa" w:w="1800"/>
            <w:tcMar>
              <w:top w:type="dxa" w:w="60"/>
              <w:left w:type="dxa" w:w="90"/>
              <w:bottom w:type="dxa" w:w="60"/>
              <w:right w:type="dxa" w:w="90"/>
            </w:tcMar>
          </w:tcPr>
          <w:p>
            <w:r>
              <w:rPr>
                <w:b w:val="false"/>
                <w:bCs w:val="false"/>
                <w:color w:val="000000"/>
                <w:sz w:val="18"/>
                <w:szCs w:val="18"/>
              </w:rPr>
              <w:t xml:space="preserve">SharpGPPPass</w:t>
            </w:r>
          </w:p>
        </w:tc>
        <w:tc>
          <w:tcPr>
            <w:tcW w:type="dxa" w:w="2000"/>
            <w:tcMar>
              <w:top w:type="dxa" w:w="60"/>
              <w:left w:type="dxa" w:w="90"/>
              <w:bottom w:type="dxa" w:w="60"/>
              <w:right w:type="dxa" w:w="90"/>
            </w:tcMar>
          </w:tcPr>
          <w:p>
            <w:r>
              <w:rPr>
                <w:b w:val="false"/>
                <w:bCs w:val="false"/>
                <w:color w:val="000000"/>
                <w:sz w:val="16"/>
                <w:szCs w:val="16"/>
              </w:rPr>
              <w:t xml:space="preserve">SharpGPPPass.exe</w:t>
            </w:r>
          </w:p>
        </w:tc>
        <w:tc>
          <w:tcPr>
            <w:tcW w:type="dxa" w:w="5400"/>
            <w:tcMar>
              <w:top w:type="dxa" w:w="60"/>
              <w:left w:type="dxa" w:w="90"/>
              <w:bottom w:type="dxa" w:w="60"/>
              <w:right w:type="dxa" w:w="90"/>
            </w:tcMar>
          </w:tcPr>
          <w:p>
            <w:r>
              <w:rPr>
                <w:b w:val="false"/>
                <w:bCs w:val="false"/>
                <w:color w:val="000000"/>
                <w:sz w:val="18"/>
                <w:szCs w:val="18"/>
              </w:rPr>
              <w:t xml:space="preserve">CVE-2014-1812 GPP password extraction</w:t>
            </w:r>
          </w:p>
        </w:tc>
      </w:tr>
      <w:tr>
        <w:tc>
          <w:tcPr>
            <w:tcW w:type="dxa" w:w="1800"/>
            <w:tcMar>
              <w:top w:type="dxa" w:w="60"/>
              <w:left w:type="dxa" w:w="90"/>
              <w:bottom w:type="dxa" w:w="60"/>
              <w:right w:type="dxa" w:w="90"/>
            </w:tcMar>
          </w:tcPr>
          <w:p>
            <w:r>
              <w:rPr>
                <w:b w:val="false"/>
                <w:bCs w:val="false"/>
                <w:color w:val="000000"/>
                <w:sz w:val="18"/>
                <w:szCs w:val="18"/>
              </w:rPr>
              <w:t xml:space="preserve">SpnDump</w:t>
            </w:r>
          </w:p>
        </w:tc>
        <w:tc>
          <w:tcPr>
            <w:tcW w:type="dxa" w:w="2000"/>
            <w:tcMar>
              <w:top w:type="dxa" w:w="60"/>
              <w:left w:type="dxa" w:w="90"/>
              <w:bottom w:type="dxa" w:w="60"/>
              <w:right w:type="dxa" w:w="90"/>
            </w:tcMar>
          </w:tcPr>
          <w:p>
            <w:r>
              <w:rPr>
                <w:b w:val="false"/>
                <w:bCs w:val="false"/>
                <w:color w:val="000000"/>
                <w:sz w:val="16"/>
                <w:szCs w:val="16"/>
              </w:rPr>
              <w:t xml:space="preserve">SpnDump.exe</w:t>
            </w:r>
          </w:p>
        </w:tc>
        <w:tc>
          <w:tcPr>
            <w:tcW w:type="dxa" w:w="5400"/>
            <w:tcMar>
              <w:top w:type="dxa" w:w="60"/>
              <w:left w:type="dxa" w:w="90"/>
              <w:bottom w:type="dxa" w:w="60"/>
              <w:right w:type="dxa" w:w="90"/>
            </w:tcMar>
          </w:tcPr>
          <w:p>
            <w:r>
              <w:rPr>
                <w:b w:val="false"/>
                <w:bCs w:val="false"/>
                <w:color w:val="000000"/>
                <w:sz w:val="18"/>
                <w:szCs w:val="18"/>
              </w:rPr>
              <w:t xml:space="preserve">SPN / service and hostname enumeration</w:t>
            </w:r>
          </w:p>
        </w:tc>
      </w:tr>
      <w:tr>
        <w:tc>
          <w:tcPr>
            <w:tcW w:type="dxa" w:w="1800"/>
            <w:tcMar>
              <w:top w:type="dxa" w:w="60"/>
              <w:left w:type="dxa" w:w="90"/>
              <w:bottom w:type="dxa" w:w="60"/>
              <w:right w:type="dxa" w:w="90"/>
            </w:tcMar>
          </w:tcPr>
          <w:p>
            <w:r>
              <w:rPr>
                <w:b w:val="false"/>
                <w:bCs w:val="false"/>
                <w:color w:val="000000"/>
                <w:sz w:val="18"/>
                <w:szCs w:val="18"/>
              </w:rPr>
              <w:t xml:space="preserve">SharpNBTScan</w:t>
            </w:r>
          </w:p>
        </w:tc>
        <w:tc>
          <w:tcPr>
            <w:tcW w:type="dxa" w:w="2000"/>
            <w:tcMar>
              <w:top w:type="dxa" w:w="60"/>
              <w:left w:type="dxa" w:w="90"/>
              <w:bottom w:type="dxa" w:w="60"/>
              <w:right w:type="dxa" w:w="90"/>
            </w:tcMar>
          </w:tcPr>
          <w:p>
            <w:r>
              <w:rPr>
                <w:b w:val="false"/>
                <w:bCs w:val="false"/>
                <w:color w:val="000000"/>
                <w:sz w:val="16"/>
                <w:szCs w:val="16"/>
              </w:rPr>
              <w:t xml:space="preserve">NBT.exe</w:t>
            </w:r>
          </w:p>
        </w:tc>
        <w:tc>
          <w:tcPr>
            <w:tcW w:type="dxa" w:w="5400"/>
            <w:tcMar>
              <w:top w:type="dxa" w:w="60"/>
              <w:left w:type="dxa" w:w="90"/>
              <w:bottom w:type="dxa" w:w="60"/>
              <w:right w:type="dxa" w:w="90"/>
            </w:tcMar>
          </w:tcPr>
          <w:p>
            <w:r>
              <w:rPr>
                <w:b w:val="false"/>
                <w:bCs w:val="false"/>
                <w:color w:val="000000"/>
                <w:sz w:val="18"/>
                <w:szCs w:val="18"/>
              </w:rPr>
              <w:t xml:space="preserve">NetBIOS scanning</w:t>
            </w:r>
          </w:p>
        </w:tc>
      </w:tr>
      <w:tr>
        <w:tc>
          <w:tcPr>
            <w:tcW w:type="dxa" w:w="1800"/>
            <w:tcMar>
              <w:top w:type="dxa" w:w="60"/>
              <w:left w:type="dxa" w:w="90"/>
              <w:bottom w:type="dxa" w:w="60"/>
              <w:right w:type="dxa" w:w="90"/>
            </w:tcMar>
          </w:tcPr>
          <w:p>
            <w:r>
              <w:rPr>
                <w:b w:val="false"/>
                <w:bCs w:val="false"/>
                <w:color w:val="000000"/>
                <w:sz w:val="18"/>
                <w:szCs w:val="18"/>
              </w:rPr>
              <w:t xml:space="preserve">BadPotato</w:t>
            </w:r>
          </w:p>
        </w:tc>
        <w:tc>
          <w:tcPr>
            <w:tcW w:type="dxa" w:w="2000"/>
            <w:tcMar>
              <w:top w:type="dxa" w:w="60"/>
              <w:left w:type="dxa" w:w="90"/>
              <w:bottom w:type="dxa" w:w="60"/>
              <w:right w:type="dxa" w:w="90"/>
            </w:tcMar>
          </w:tcPr>
          <w:p>
            <w:r>
              <w:rPr>
                <w:b w:val="false"/>
                <w:bCs w:val="false"/>
                <w:color w:val="000000"/>
                <w:sz w:val="16"/>
                <w:szCs w:val="16"/>
              </w:rPr>
              <w:t xml:space="preserve">BadPotato.exe</w:t>
            </w:r>
          </w:p>
        </w:tc>
        <w:tc>
          <w:tcPr>
            <w:tcW w:type="dxa" w:w="5400"/>
            <w:tcMar>
              <w:top w:type="dxa" w:w="60"/>
              <w:left w:type="dxa" w:w="90"/>
              <w:bottom w:type="dxa" w:w="60"/>
              <w:right w:type="dxa" w:w="90"/>
            </w:tcMar>
          </w:tcPr>
          <w:p>
            <w:r>
              <w:rPr>
                <w:b w:val="false"/>
                <w:bCs w:val="false"/>
                <w:color w:val="000000"/>
                <w:sz w:val="18"/>
                <w:szCs w:val="18"/>
              </w:rPr>
              <w:t xml:space="preserve">Privilege escalation</w:t>
            </w:r>
          </w:p>
        </w:tc>
      </w:tr>
      <w:tr>
        <w:tc>
          <w:tcPr>
            <w:tcW w:type="dxa" w:w="1800"/>
            <w:tcMar>
              <w:top w:type="dxa" w:w="60"/>
              <w:left w:type="dxa" w:w="90"/>
              <w:bottom w:type="dxa" w:w="60"/>
              <w:right w:type="dxa" w:w="90"/>
            </w:tcMar>
          </w:tcPr>
          <w:p>
            <w:r>
              <w:rPr>
                <w:b w:val="false"/>
                <w:bCs w:val="false"/>
                <w:color w:val="000000"/>
                <w:sz w:val="18"/>
                <w:szCs w:val="18"/>
              </w:rPr>
              <w:t xml:space="preserve">GodPotato</w:t>
            </w:r>
          </w:p>
        </w:tc>
        <w:tc>
          <w:tcPr>
            <w:tcW w:type="dxa" w:w="2000"/>
            <w:tcMar>
              <w:top w:type="dxa" w:w="60"/>
              <w:left w:type="dxa" w:w="90"/>
              <w:bottom w:type="dxa" w:w="60"/>
              <w:right w:type="dxa" w:w="90"/>
            </w:tcMar>
          </w:tcPr>
          <w:p>
            <w:r>
              <w:rPr>
                <w:b w:val="false"/>
                <w:bCs w:val="false"/>
                <w:color w:val="000000"/>
                <w:sz w:val="16"/>
                <w:szCs w:val="16"/>
              </w:rPr>
              <w:t xml:space="preserve">God.exe</w:t>
            </w:r>
          </w:p>
        </w:tc>
        <w:tc>
          <w:tcPr>
            <w:tcW w:type="dxa" w:w="5400"/>
            <w:tcMar>
              <w:top w:type="dxa" w:w="60"/>
              <w:left w:type="dxa" w:w="90"/>
              <w:bottom w:type="dxa" w:w="60"/>
              <w:right w:type="dxa" w:w="90"/>
            </w:tcMar>
          </w:tcPr>
          <w:p>
            <w:r>
              <w:rPr>
                <w:b w:val="false"/>
                <w:bCs w:val="false"/>
                <w:color w:val="000000"/>
                <w:sz w:val="18"/>
                <w:szCs w:val="18"/>
              </w:rPr>
              <w:t xml:space="preserve">Privilege escalation</w:t>
            </w:r>
          </w:p>
        </w:tc>
      </w:tr>
      <w:tr>
        <w:tc>
          <w:tcPr>
            <w:tcW w:type="dxa" w:w="1800"/>
            <w:tcMar>
              <w:top w:type="dxa" w:w="60"/>
              <w:left w:type="dxa" w:w="90"/>
              <w:bottom w:type="dxa" w:w="60"/>
              <w:right w:type="dxa" w:w="90"/>
            </w:tcMar>
          </w:tcPr>
          <w:p>
            <w:r>
              <w:rPr>
                <w:b w:val="false"/>
                <w:bCs w:val="false"/>
                <w:color w:val="000000"/>
                <w:sz w:val="18"/>
                <w:szCs w:val="18"/>
              </w:rPr>
              <w:t xml:space="preserve">HFS</w:t>
            </w:r>
          </w:p>
        </w:tc>
        <w:tc>
          <w:tcPr>
            <w:tcW w:type="dxa" w:w="2000"/>
            <w:tcMar>
              <w:top w:type="dxa" w:w="60"/>
              <w:left w:type="dxa" w:w="90"/>
              <w:bottom w:type="dxa" w:w="60"/>
              <w:right w:type="dxa" w:w="90"/>
            </w:tcMar>
          </w:tcPr>
          <w:p>
            <w:r>
              <w:rPr>
                <w:b w:val="false"/>
                <w:bCs w:val="false"/>
                <w:color w:val="000000"/>
                <w:sz w:val="16"/>
                <w:szCs w:val="16"/>
              </w:rPr>
              <w:t xml:space="preserve">—</w:t>
            </w:r>
          </w:p>
        </w:tc>
        <w:tc>
          <w:tcPr>
            <w:tcW w:type="dxa" w:w="5400"/>
            <w:tcMar>
              <w:top w:type="dxa" w:w="60"/>
              <w:left w:type="dxa" w:w="90"/>
              <w:bottom w:type="dxa" w:w="60"/>
              <w:right w:type="dxa" w:w="90"/>
            </w:tcMar>
          </w:tcPr>
          <w:p>
            <w:r>
              <w:rPr>
                <w:b w:val="false"/>
                <w:bCs w:val="false"/>
                <w:color w:val="000000"/>
                <w:sz w:val="18"/>
                <w:szCs w:val="18"/>
              </w:rPr>
              <w:t xml:space="preserve">HTTP file server for staging/exfil</w:t>
            </w:r>
          </w:p>
        </w:tc>
      </w:tr>
      <w:tr>
        <w:tc>
          <w:tcPr>
            <w:tcW w:type="dxa" w:w="1800"/>
            <w:tcMar>
              <w:top w:type="dxa" w:w="60"/>
              <w:left w:type="dxa" w:w="90"/>
              <w:bottom w:type="dxa" w:w="60"/>
              <w:right w:type="dxa" w:w="90"/>
            </w:tcMar>
          </w:tcPr>
          <w:p>
            <w:r>
              <w:rPr>
                <w:b w:val="false"/>
                <w:bCs w:val="false"/>
                <w:color w:val="000000"/>
                <w:sz w:val="18"/>
                <w:szCs w:val="18"/>
              </w:rPr>
              <w:t xml:space="preserve">Ladon 911</w:t>
            </w:r>
          </w:p>
        </w:tc>
        <w:tc>
          <w:tcPr>
            <w:tcW w:type="dxa" w:w="2000"/>
            <w:tcMar>
              <w:top w:type="dxa" w:w="60"/>
              <w:left w:type="dxa" w:w="90"/>
              <w:bottom w:type="dxa" w:w="60"/>
              <w:right w:type="dxa" w:w="90"/>
            </w:tcMar>
          </w:tcPr>
          <w:p>
            <w:r>
              <w:rPr>
                <w:b w:val="false"/>
                <w:bCs w:val="false"/>
                <w:color w:val="000000"/>
                <w:sz w:val="16"/>
                <w:szCs w:val="16"/>
              </w:rPr>
              <w:t xml:space="preserve">—</w:t>
            </w:r>
          </w:p>
        </w:tc>
        <w:tc>
          <w:tcPr>
            <w:tcW w:type="dxa" w:w="5400"/>
            <w:tcMar>
              <w:top w:type="dxa" w:w="60"/>
              <w:left w:type="dxa" w:w="90"/>
              <w:bottom w:type="dxa" w:w="60"/>
              <w:right w:type="dxa" w:w="90"/>
            </w:tcMar>
          </w:tcPr>
          <w:p>
            <w:r>
              <w:rPr>
                <w:b w:val="false"/>
                <w:bCs w:val="false"/>
                <w:color w:val="000000"/>
                <w:sz w:val="18"/>
                <w:szCs w:val="18"/>
              </w:rPr>
              <w:t xml:space="preserve">Scanning/exploitation, MS17-010 module</w:t>
            </w:r>
          </w:p>
        </w:tc>
      </w:tr>
      <w:tr>
        <w:tc>
          <w:tcPr>
            <w:tcW w:type="dxa" w:w="1800"/>
            <w:tcMar>
              <w:top w:type="dxa" w:w="60"/>
              <w:left w:type="dxa" w:w="90"/>
              <w:bottom w:type="dxa" w:w="60"/>
              <w:right w:type="dxa" w:w="90"/>
            </w:tcMar>
          </w:tcPr>
          <w:p>
            <w:r>
              <w:rPr>
                <w:b w:val="false"/>
                <w:bCs w:val="false"/>
                <w:color w:val="000000"/>
                <w:sz w:val="18"/>
                <w:szCs w:val="18"/>
              </w:rPr>
              <w:t xml:space="preserve">Web shell</w:t>
            </w:r>
          </w:p>
        </w:tc>
        <w:tc>
          <w:tcPr>
            <w:tcW w:type="dxa" w:w="2000"/>
            <w:tcMar>
              <w:top w:type="dxa" w:w="60"/>
              <w:left w:type="dxa" w:w="90"/>
              <w:bottom w:type="dxa" w:w="60"/>
              <w:right w:type="dxa" w:w="90"/>
            </w:tcMar>
          </w:tcPr>
          <w:p>
            <w:r>
              <w:rPr>
                <w:b w:val="false"/>
                <w:bCs w:val="false"/>
                <w:color w:val="000000"/>
                <w:sz w:val="16"/>
                <w:szCs w:val="16"/>
              </w:rPr>
              <w:t xml:space="preserve">—</w:t>
            </w:r>
          </w:p>
        </w:tc>
        <w:tc>
          <w:tcPr>
            <w:tcW w:type="dxa" w:w="5400"/>
            <w:tcMar>
              <w:top w:type="dxa" w:w="60"/>
              <w:left w:type="dxa" w:w="90"/>
              <w:bottom w:type="dxa" w:w="60"/>
              <w:right w:type="dxa" w:w="90"/>
            </w:tcMar>
          </w:tcPr>
          <w:p>
            <w:r>
              <w:rPr>
                <w:b w:val="false"/>
                <w:bCs w:val="false"/>
                <w:color w:val="000000"/>
                <w:sz w:val="18"/>
                <w:szCs w:val="18"/>
              </w:rPr>
              <w:t xml:space="preserve">Backdoor / persistence</w:t>
            </w:r>
          </w:p>
        </w:tc>
      </w:tr>
    </w:tbl>
    <w:p>
      <w:pPr>
        <w:spacing w:after="100" w:before="100"/>
      </w:pPr>
      <w:r>
        <w:rPr>
          <w:i/>
          <w:iCs/>
          <w:color w:val="595959"/>
          <w:sz w:val="19"/>
          <w:szCs w:val="19"/>
        </w:rPr>
        <w:t xml:space="preserve">CISA's framing is worth repeating to a SOC verbatim: these privilege escalation tools would not generally be used by individuals with legitimate access and credentials, and network administrators would be unlikely to use them for share or remote systems discovery. Presence alone is actionable.</w:t>
      </w:r>
    </w:p>
    <w:p>
      <w:pPr>
        <w:pStyle w:val="Heading2"/>
        <w:spacing w:after="90" w:before="220"/>
      </w:pPr>
      <w:r>
        <w:rPr>
          <w:b/>
          <w:bCs/>
          <w:color w:val="2E74B5"/>
          <w:sz w:val="24"/>
          <w:szCs w:val="24"/>
        </w:rPr>
        <w:t xml:space="preserve">Network Indicators</w:t>
      </w:r>
    </w:p>
    <w:p>
      <w:pPr>
        <w:spacing w:after="120" w:line="276"/>
      </w:pPr>
      <w:r>
        <w:rPr>
          <w:sz w:val="21"/>
          <w:szCs w:val="21"/>
        </w:rPr>
        <w:t xml:space="preserve">No C2 IP addresses or domains are published in this advisory. Ghost rarely registers domains — Beacon retrieval references the C2 server IP directly:</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color w:val="000000"/>
          <w:sz w:val="18"/>
          <w:szCs w:val="18"/>
        </w:rPr>
        <w:t xml:space="preserve">http://&lt;C2_IP&gt;:80/Google.com</w:t>
      </w:r>
    </w:p>
    <w:p>
      <w:pPr>
        <w:spacing w:after="120" w:line="276"/>
      </w:pPr>
      <w:r>
        <w:rPr>
          <w:sz w:val="21"/>
          <w:szCs w:val="21"/>
        </w:rPr>
        <w:t xml:space="preserve">A URI path that mimics a domain name on a direct-to-IP HTTP request is the hunt signature here.</w:t>
      </w:r>
    </w:p>
    <w:p>
      <w:pPr>
        <w:pStyle w:val="Heading2"/>
        <w:spacing w:after="90" w:before="220"/>
      </w:pPr>
      <w:r>
        <w:rPr>
          <w:b/>
          <w:bCs/>
          <w:color w:val="2E74B5"/>
          <w:sz w:val="24"/>
          <w:szCs w:val="24"/>
        </w:rPr>
        <w:t xml:space="preserve">Ransom Email Addresses (33) and TOX IDs</w:t>
      </w:r>
    </w:p>
    <w:p>
      <w:pPr>
        <w:spacing w:after="120" w:line="276"/>
      </w:pPr>
      <w:r>
        <w:rPr>
          <w:sz w:val="18"/>
          <w:szCs w:val="18"/>
        </w:rPr>
        <w:t xml:space="preserve">asauribe@tutanota.com, cringghost@skiff.com, crptbackup@skiff.com, d3crypt@onionmail.org, d3svc@tuta.io, eternalnightmare@tutanota.com, evilcorp@skiff.com, fileunlock@onionmail.org, fortihooks@protonmail.com, genesis1337@tutanota.com, ghost1998@tutamail.com, ghostbackup@skiff.com, ghosts1337@skiff.com, ghosts1337@tuta.io, ghostsbackup@skiff.com, hsharada@skiff.com, just4money@tutanota.com, kellyreiff@tutanota.com, kev1npt@tuta.io, lockhelp1998@skiff.com, r.heisler@skiff.com, rainbowforever@skiff.com, rainbowforever@tutanota.com, retryit1998@mailfence.com, retryit1998@tutamail.com, rsacrpthelp@skiff.com, rsahelp@protonmail.com, sdghost@onionmail.org, shadowghost@skiff.com, shadowghosts@tutanota.com, summerkiller@mailfence.com, summerkiller@tutanota.com, webroothooks@tutanota.com</w:t>
      </w:r>
    </w:p>
    <w:p>
      <w:pPr>
        <w:spacing w:after="120" w:line="276"/>
      </w:pPr>
      <w:r>
        <w:rPr>
          <w:i/>
          <w:iCs/>
          <w:color w:val="595959"/>
          <w:sz w:val="19"/>
          <w:szCs w:val="19"/>
        </w:rPr>
        <w:t xml:space="preserve">Note fortihooks@ and webroothooks@ — the actor names the exploited vendor (Fortinet) and a security vendor (Webroot) in their own addresses.</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color w:val="000000"/>
          <w:sz w:val="18"/>
          <w:szCs w:val="18"/>
        </w:rPr>
        <w:t xml:space="preserve">TOX: EFE31926F41889DBF6588F27A2EC3A2D7DEF7D2E9E0A1DEFD39B976A49C11F0E19E03998DBDA
TOX: E83CD54EAAB0F31040D855E1ED993E2AC92652FF8E8742D3901580339D135C6EBCD71002885B</w:t>
      </w:r>
    </w:p>
    <w:p>
      <w:r>
        <w:br w:type="page"/>
      </w:r>
    </w:p>
    <w:p>
      <w:pPr>
        <w:pStyle w:val="Heading1"/>
        <w:spacing w:after="140" w:before="340"/>
      </w:pPr>
      <w:r>
        <w:rPr>
          <w:b/>
          <w:bCs/>
          <w:color w:val="1F3864"/>
          <w:sz w:val="30"/>
          <w:szCs w:val="30"/>
        </w:rPr>
        <w:t xml:space="preserve">4.  Simulation Plan (Atomic Red Team)</w:t>
      </w:r>
    </w:p>
    <w:p>
      <w:pPr>
        <w:spacing w:after="120" w:line="276"/>
      </w:pPr>
      <w:r>
        <w:rPr>
          <w:sz w:val="21"/>
          <w:szCs w:val="21"/>
        </w:rPr>
        <w:t xml:space="preserve">Coverage checked live against redcanaryco/atomic-red-team master branch on 29 July 2026 via the GitHub contents API and raw YAML retrieval. Test counts are from current atomic YAML files, not from memory.</w:t>
      </w:r>
    </w:p>
    <w:p>
      <w:pPr>
        <w:pStyle w:val="Heading2"/>
        <w:spacing w:after="90" w:before="220"/>
      </w:pPr>
      <w:r>
        <w:rPr>
          <w:b/>
          <w:bCs/>
          <w:color w:val="2E74B5"/>
          <w:sz w:val="24"/>
          <w:szCs w:val="24"/>
        </w:rPr>
        <w:t xml:space="preserve">Techniques With Atomic Coverage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1000"/>
        <w:gridCol w:w="5100"/>
      </w:tblGrid>
      <w:tr>
        <w:trPr>
          <w:tblHeader/>
        </w:trPr>
        <w:tc>
          <w:tcPr>
            <w:tcW w:type="dxa" w:w="3100"/>
            <w:shd w:fill="1F3864" w:val="clear"/>
            <w:tcMar>
              <w:top w:type="dxa" w:w="60"/>
              <w:left w:type="dxa" w:w="90"/>
              <w:bottom w:type="dxa" w:w="60"/>
              <w:right w:type="dxa" w:w="90"/>
            </w:tcMar>
          </w:tcPr>
          <w:p>
            <w:r>
              <w:rPr>
                <w:b/>
                <w:bCs/>
                <w:color w:val="FFFFFF"/>
                <w:sz w:val="18"/>
                <w:szCs w:val="18"/>
              </w:rPr>
              <w:t xml:space="preserve">Technique</w:t>
            </w:r>
          </w:p>
        </w:tc>
        <w:tc>
          <w:tcPr>
            <w:tcW w:type="dxa" w:w="1000"/>
            <w:shd w:fill="1F3864" w:val="clear"/>
            <w:tcMar>
              <w:top w:type="dxa" w:w="60"/>
              <w:left w:type="dxa" w:w="90"/>
              <w:bottom w:type="dxa" w:w="60"/>
              <w:right w:type="dxa" w:w="90"/>
            </w:tcMar>
          </w:tcPr>
          <w:p>
            <w:r>
              <w:rPr>
                <w:b/>
                <w:bCs/>
                <w:color w:val="FFFFFF"/>
                <w:sz w:val="18"/>
                <w:szCs w:val="18"/>
              </w:rPr>
              <w:t xml:space="preserve">Tests</w:t>
            </w:r>
          </w:p>
        </w:tc>
        <w:tc>
          <w:tcPr>
            <w:tcW w:type="dxa" w:w="5100"/>
            <w:shd w:fill="1F3864" w:val="clear"/>
            <w:tcMar>
              <w:top w:type="dxa" w:w="60"/>
              <w:left w:type="dxa" w:w="90"/>
              <w:bottom w:type="dxa" w:w="60"/>
              <w:right w:type="dxa" w:w="90"/>
            </w:tcMar>
          </w:tcPr>
          <w:p>
            <w:r>
              <w:rPr>
                <w:b/>
                <w:bCs/>
                <w:color w:val="FFFFFF"/>
                <w:sz w:val="18"/>
                <w:szCs w:val="18"/>
              </w:rPr>
              <w:t xml:space="preserve">Fit assessment</w:t>
            </w:r>
          </w:p>
        </w:tc>
      </w:tr>
      <w:tr>
        <w:tc>
          <w:tcPr>
            <w:tcW w:type="dxa" w:w="3100"/>
            <w:tcMar>
              <w:top w:type="dxa" w:w="60"/>
              <w:left w:type="dxa" w:w="90"/>
              <w:bottom w:type="dxa" w:w="60"/>
              <w:right w:type="dxa" w:w="90"/>
            </w:tcMar>
          </w:tcPr>
          <w:p>
            <w:r>
              <w:rPr>
                <w:b w:val="false"/>
                <w:bCs w:val="false"/>
                <w:color w:val="000000"/>
                <w:sz w:val="17"/>
                <w:szCs w:val="17"/>
              </w:rPr>
              <w:t xml:space="preserve">T1105 – Ingress Tool Transfer</w:t>
            </w:r>
          </w:p>
        </w:tc>
        <w:tc>
          <w:tcPr>
            <w:tcW w:type="dxa" w:w="1000"/>
            <w:tcMar>
              <w:top w:type="dxa" w:w="60"/>
              <w:left w:type="dxa" w:w="90"/>
              <w:bottom w:type="dxa" w:w="60"/>
              <w:right w:type="dxa" w:w="90"/>
            </w:tcMar>
          </w:tcPr>
          <w:p>
            <w:r>
              <w:rPr>
                <w:b w:val="false"/>
                <w:bCs w:val="false"/>
                <w:color w:val="000000"/>
                <w:sz w:val="18"/>
                <w:szCs w:val="18"/>
              </w:rPr>
              <w:t xml:space="preserve">39</w:t>
            </w:r>
          </w:p>
        </w:tc>
        <w:tc>
          <w:tcPr>
            <w:tcW w:type="dxa" w:w="5100"/>
            <w:tcMar>
              <w:top w:type="dxa" w:w="60"/>
              <w:left w:type="dxa" w:w="90"/>
              <w:bottom w:type="dxa" w:w="60"/>
              <w:right w:type="dxa" w:w="90"/>
            </w:tcMar>
          </w:tcPr>
          <w:p>
            <w:r>
              <w:rPr>
                <w:b w:val="false"/>
                <w:bCs w:val="false"/>
                <w:color w:val="000000"/>
                <w:sz w:val="17"/>
                <w:szCs w:val="17"/>
              </w:rPr>
              <w:t xml:space="preserve">Excellent – broadest coverage; exercises payload delivery directly.</w:t>
            </w:r>
          </w:p>
        </w:tc>
      </w:tr>
      <w:tr>
        <w:tc>
          <w:tcPr>
            <w:tcW w:type="dxa" w:w="3100"/>
            <w:tcMar>
              <w:top w:type="dxa" w:w="60"/>
              <w:left w:type="dxa" w:w="90"/>
              <w:bottom w:type="dxa" w:w="60"/>
              <w:right w:type="dxa" w:w="90"/>
            </w:tcMar>
          </w:tcPr>
          <w:p>
            <w:r>
              <w:rPr>
                <w:b w:val="false"/>
                <w:bCs w:val="false"/>
                <w:color w:val="000000"/>
                <w:sz w:val="17"/>
                <w:szCs w:val="17"/>
              </w:rPr>
              <w:t xml:space="preserve">T1087.002 – Domain Account Discovery</w:t>
            </w:r>
          </w:p>
        </w:tc>
        <w:tc>
          <w:tcPr>
            <w:tcW w:type="dxa" w:w="1000"/>
            <w:tcMar>
              <w:top w:type="dxa" w:w="60"/>
              <w:left w:type="dxa" w:w="90"/>
              <w:bottom w:type="dxa" w:w="60"/>
              <w:right w:type="dxa" w:w="90"/>
            </w:tcMar>
          </w:tcPr>
          <w:p>
            <w:r>
              <w:rPr>
                <w:b w:val="false"/>
                <w:bCs w:val="false"/>
                <w:color w:val="000000"/>
                <w:sz w:val="18"/>
                <w:szCs w:val="18"/>
              </w:rPr>
              <w:t xml:space="preserve">24</w:t>
            </w:r>
          </w:p>
        </w:tc>
        <w:tc>
          <w:tcPr>
            <w:tcW w:type="dxa" w:w="5100"/>
            <w:tcMar>
              <w:top w:type="dxa" w:w="60"/>
              <w:left w:type="dxa" w:w="90"/>
              <w:bottom w:type="dxa" w:w="60"/>
              <w:right w:type="dxa" w:w="90"/>
            </w:tcMar>
          </w:tcPr>
          <w:p>
            <w:r>
              <w:rPr>
                <w:b w:val="false"/>
                <w:bCs w:val="false"/>
                <w:color w:val="000000"/>
                <w:sz w:val="17"/>
                <w:szCs w:val="17"/>
              </w:rPr>
              <w:t xml:space="preserve">Excellent – includes exact net group "Domain Admins" /domain pattern.</w:t>
            </w:r>
          </w:p>
        </w:tc>
      </w:tr>
      <w:tr>
        <w:tc>
          <w:tcPr>
            <w:tcW w:type="dxa" w:w="3100"/>
            <w:tcMar>
              <w:top w:type="dxa" w:w="60"/>
              <w:left w:type="dxa" w:w="90"/>
              <w:bottom w:type="dxa" w:w="60"/>
              <w:right w:type="dxa" w:w="90"/>
            </w:tcMar>
          </w:tcPr>
          <w:p>
            <w:r>
              <w:rPr>
                <w:b w:val="false"/>
                <w:bCs w:val="false"/>
                <w:color w:val="000000"/>
                <w:sz w:val="17"/>
                <w:szCs w:val="17"/>
              </w:rPr>
              <w:t xml:space="preserve">T1059.001 – PowerShell</w:t>
            </w:r>
          </w:p>
        </w:tc>
        <w:tc>
          <w:tcPr>
            <w:tcW w:type="dxa" w:w="1000"/>
            <w:tcMar>
              <w:top w:type="dxa" w:w="60"/>
              <w:left w:type="dxa" w:w="90"/>
              <w:bottom w:type="dxa" w:w="60"/>
              <w:right w:type="dxa" w:w="90"/>
            </w:tcMar>
          </w:tcPr>
          <w:p>
            <w:r>
              <w:rPr>
                <w:b w:val="false"/>
                <w:bCs w:val="false"/>
                <w:color w:val="000000"/>
                <w:sz w:val="18"/>
                <w:szCs w:val="18"/>
              </w:rPr>
              <w:t xml:space="preserve">22</w:t>
            </w:r>
          </w:p>
        </w:tc>
        <w:tc>
          <w:tcPr>
            <w:tcW w:type="dxa" w:w="5100"/>
            <w:tcMar>
              <w:top w:type="dxa" w:w="60"/>
              <w:left w:type="dxa" w:w="90"/>
              <w:bottom w:type="dxa" w:w="60"/>
              <w:right w:type="dxa" w:w="90"/>
            </w:tcMar>
          </w:tcPr>
          <w:p>
            <w:r>
              <w:rPr>
                <w:b w:val="false"/>
                <w:bCs w:val="false"/>
                <w:color w:val="000000"/>
                <w:sz w:val="17"/>
                <w:szCs w:val="17"/>
              </w:rPr>
              <w:t xml:space="preserve">Excellent, incl. encoded-command variants.</w:t>
            </w:r>
          </w:p>
        </w:tc>
      </w:tr>
      <w:tr>
        <w:tc>
          <w:tcPr>
            <w:tcW w:type="dxa" w:w="3100"/>
            <w:tcMar>
              <w:top w:type="dxa" w:w="60"/>
              <w:left w:type="dxa" w:w="90"/>
              <w:bottom w:type="dxa" w:w="60"/>
              <w:right w:type="dxa" w:w="90"/>
            </w:tcMar>
          </w:tcPr>
          <w:p>
            <w:r>
              <w:rPr>
                <w:b w:val="false"/>
                <w:bCs w:val="false"/>
                <w:color w:val="000000"/>
                <w:sz w:val="17"/>
                <w:szCs w:val="17"/>
              </w:rPr>
              <w:t xml:space="preserve">T1018 – Remote System Discovery</w:t>
            </w:r>
          </w:p>
        </w:tc>
        <w:tc>
          <w:tcPr>
            <w:tcW w:type="dxa" w:w="1000"/>
            <w:tcMar>
              <w:top w:type="dxa" w:w="60"/>
              <w:left w:type="dxa" w:w="90"/>
              <w:bottom w:type="dxa" w:w="60"/>
              <w:right w:type="dxa" w:w="90"/>
            </w:tcMar>
          </w:tcPr>
          <w:p>
            <w:r>
              <w:rPr>
                <w:b w:val="false"/>
                <w:bCs w:val="false"/>
                <w:color w:val="000000"/>
                <w:sz w:val="18"/>
                <w:szCs w:val="18"/>
              </w:rPr>
              <w:t xml:space="preserve">22</w:t>
            </w:r>
          </w:p>
        </w:tc>
        <w:tc>
          <w:tcPr>
            <w:tcW w:type="dxa" w:w="5100"/>
            <w:tcMar>
              <w:top w:type="dxa" w:w="60"/>
              <w:left w:type="dxa" w:w="90"/>
              <w:bottom w:type="dxa" w:w="60"/>
              <w:right w:type="dxa" w:w="90"/>
            </w:tcMar>
          </w:tcPr>
          <w:p>
            <w:r>
              <w:rPr>
                <w:b w:val="false"/>
                <w:bCs w:val="false"/>
                <w:color w:val="000000"/>
                <w:sz w:val="17"/>
                <w:szCs w:val="17"/>
              </w:rPr>
              <w:t xml:space="preserve">Strong – no Ladon/SharpNBTScan test, but covers the tactic.</w:t>
            </w:r>
          </w:p>
        </w:tc>
      </w:tr>
      <w:tr>
        <w:tc>
          <w:tcPr>
            <w:tcW w:type="dxa" w:w="3100"/>
            <w:tcMar>
              <w:top w:type="dxa" w:w="60"/>
              <w:left w:type="dxa" w:w="90"/>
              <w:bottom w:type="dxa" w:w="60"/>
              <w:right w:type="dxa" w:w="90"/>
            </w:tcMar>
          </w:tcPr>
          <w:p>
            <w:r>
              <w:rPr>
                <w:b w:val="false"/>
                <w:bCs w:val="false"/>
                <w:color w:val="000000"/>
                <w:sz w:val="17"/>
                <w:szCs w:val="17"/>
              </w:rPr>
              <w:t xml:space="preserve">T1098 – Account Manipulation</w:t>
            </w:r>
          </w:p>
        </w:tc>
        <w:tc>
          <w:tcPr>
            <w:tcW w:type="dxa" w:w="1000"/>
            <w:tcMar>
              <w:top w:type="dxa" w:w="60"/>
              <w:left w:type="dxa" w:w="90"/>
              <w:bottom w:type="dxa" w:w="60"/>
              <w:right w:type="dxa" w:w="90"/>
            </w:tcMar>
          </w:tcPr>
          <w:p>
            <w:r>
              <w:rPr>
                <w:b w:val="false"/>
                <w:bCs w:val="false"/>
                <w:color w:val="000000"/>
                <w:sz w:val="18"/>
                <w:szCs w:val="18"/>
              </w:rPr>
              <w:t xml:space="preserve">17</w:t>
            </w:r>
          </w:p>
        </w:tc>
        <w:tc>
          <w:tcPr>
            <w:tcW w:type="dxa" w:w="5100"/>
            <w:tcMar>
              <w:top w:type="dxa" w:w="60"/>
              <w:left w:type="dxa" w:w="90"/>
              <w:bottom w:type="dxa" w:w="60"/>
              <w:right w:type="dxa" w:w="90"/>
            </w:tcMar>
          </w:tcPr>
          <w:p>
            <w:r>
              <w:rPr>
                <w:b w:val="false"/>
                <w:bCs w:val="false"/>
                <w:color w:val="000000"/>
                <w:sz w:val="17"/>
                <w:szCs w:val="17"/>
              </w:rPr>
              <w:t xml:space="preserve">Strong.</w:t>
            </w:r>
          </w:p>
        </w:tc>
      </w:tr>
      <w:tr>
        <w:tc>
          <w:tcPr>
            <w:tcW w:type="dxa" w:w="3100"/>
            <w:tcMar>
              <w:top w:type="dxa" w:w="60"/>
              <w:left w:type="dxa" w:w="90"/>
              <w:bottom w:type="dxa" w:w="60"/>
              <w:right w:type="dxa" w:w="90"/>
            </w:tcMar>
          </w:tcPr>
          <w:p>
            <w:r>
              <w:rPr>
                <w:b w:val="false"/>
                <w:bCs w:val="false"/>
                <w:color w:val="000000"/>
                <w:sz w:val="17"/>
                <w:szCs w:val="17"/>
              </w:rPr>
              <w:t xml:space="preserve">T1490 – Inhibit System Recovery</w:t>
            </w:r>
          </w:p>
        </w:tc>
        <w:tc>
          <w:tcPr>
            <w:tcW w:type="dxa" w:w="1000"/>
            <w:tcMar>
              <w:top w:type="dxa" w:w="60"/>
              <w:left w:type="dxa" w:w="90"/>
              <w:bottom w:type="dxa" w:w="60"/>
              <w:right w:type="dxa" w:w="90"/>
            </w:tcMar>
          </w:tcPr>
          <w:p>
            <w:r>
              <w:rPr>
                <w:b w:val="false"/>
                <w:bCs w:val="false"/>
                <w:color w:val="000000"/>
                <w:sz w:val="18"/>
                <w:szCs w:val="18"/>
              </w:rPr>
              <w:t xml:space="preserve">13</w:t>
            </w:r>
          </w:p>
        </w:tc>
        <w:tc>
          <w:tcPr>
            <w:tcW w:type="dxa" w:w="5100"/>
            <w:tcMar>
              <w:top w:type="dxa" w:w="60"/>
              <w:left w:type="dxa" w:w="90"/>
              <w:bottom w:type="dxa" w:w="60"/>
              <w:right w:type="dxa" w:w="90"/>
            </w:tcMar>
          </w:tcPr>
          <w:p>
            <w:r>
              <w:rPr>
                <w:b w:val="false"/>
                <w:bCs w:val="false"/>
                <w:color w:val="000000"/>
                <w:sz w:val="17"/>
                <w:szCs w:val="17"/>
              </w:rPr>
              <w:t xml:space="preserve">Excellent, direct hit – shadow-copy deletion tests match Ghost precisely.</w:t>
            </w:r>
          </w:p>
        </w:tc>
      </w:tr>
      <w:tr>
        <w:tc>
          <w:tcPr>
            <w:tcW w:type="dxa" w:w="3100"/>
            <w:tcMar>
              <w:top w:type="dxa" w:w="60"/>
              <w:left w:type="dxa" w:w="90"/>
              <w:bottom w:type="dxa" w:w="60"/>
              <w:right w:type="dxa" w:w="90"/>
            </w:tcMar>
          </w:tcPr>
          <w:p>
            <w:r>
              <w:rPr>
                <w:b w:val="false"/>
                <w:bCs w:val="false"/>
                <w:color w:val="000000"/>
                <w:sz w:val="17"/>
                <w:szCs w:val="17"/>
              </w:rPr>
              <w:t xml:space="preserve">T1135 – Network Share Discovery</w:t>
            </w:r>
          </w:p>
        </w:tc>
        <w:tc>
          <w:tcPr>
            <w:tcW w:type="dxa" w:w="1000"/>
            <w:tcMar>
              <w:top w:type="dxa" w:w="60"/>
              <w:left w:type="dxa" w:w="90"/>
              <w:bottom w:type="dxa" w:w="60"/>
              <w:right w:type="dxa" w:w="90"/>
            </w:tcMar>
          </w:tcPr>
          <w:p>
            <w:r>
              <w:rPr>
                <w:b w:val="false"/>
                <w:bCs w:val="false"/>
                <w:color w:val="000000"/>
                <w:sz w:val="18"/>
                <w:szCs w:val="18"/>
              </w:rPr>
              <w:t xml:space="preserve">12</w:t>
            </w:r>
          </w:p>
        </w:tc>
        <w:tc>
          <w:tcPr>
            <w:tcW w:type="dxa" w:w="5100"/>
            <w:tcMar>
              <w:top w:type="dxa" w:w="60"/>
              <w:left w:type="dxa" w:w="90"/>
              <w:bottom w:type="dxa" w:w="60"/>
              <w:right w:type="dxa" w:w="90"/>
            </w:tcMar>
          </w:tcPr>
          <w:p>
            <w:r>
              <w:rPr>
                <w:b w:val="false"/>
                <w:bCs w:val="false"/>
                <w:color w:val="000000"/>
                <w:sz w:val="17"/>
                <w:szCs w:val="17"/>
              </w:rPr>
              <w:t xml:space="preserve">Strong substitute for SharpShares.</w:t>
            </w:r>
          </w:p>
        </w:tc>
      </w:tr>
      <w:tr>
        <w:tc>
          <w:tcPr>
            <w:tcW w:type="dxa" w:w="3100"/>
            <w:tcMar>
              <w:top w:type="dxa" w:w="60"/>
              <w:left w:type="dxa" w:w="90"/>
              <w:bottom w:type="dxa" w:w="60"/>
              <w:right w:type="dxa" w:w="90"/>
            </w:tcMar>
          </w:tcPr>
          <w:p>
            <w:r>
              <w:rPr>
                <w:b w:val="false"/>
                <w:bCs w:val="false"/>
                <w:color w:val="000000"/>
                <w:sz w:val="17"/>
                <w:szCs w:val="17"/>
              </w:rPr>
              <w:t xml:space="preserve">T1518.001 – Security Software Discovery</w:t>
            </w:r>
          </w:p>
        </w:tc>
        <w:tc>
          <w:tcPr>
            <w:tcW w:type="dxa" w:w="1000"/>
            <w:tcMar>
              <w:top w:type="dxa" w:w="60"/>
              <w:left w:type="dxa" w:w="90"/>
              <w:bottom w:type="dxa" w:w="60"/>
              <w:right w:type="dxa" w:w="90"/>
            </w:tcMar>
          </w:tcPr>
          <w:p>
            <w:r>
              <w:rPr>
                <w:b w:val="false"/>
                <w:bCs w:val="false"/>
                <w:color w:val="000000"/>
                <w:sz w:val="18"/>
                <w:szCs w:val="18"/>
              </w:rPr>
              <w:t xml:space="preserve">11</w:t>
            </w:r>
          </w:p>
        </w:tc>
        <w:tc>
          <w:tcPr>
            <w:tcW w:type="dxa" w:w="5100"/>
            <w:tcMar>
              <w:top w:type="dxa" w:w="60"/>
              <w:left w:type="dxa" w:w="90"/>
              <w:bottom w:type="dxa" w:w="60"/>
              <w:right w:type="dxa" w:w="90"/>
            </w:tcMar>
          </w:tcPr>
          <w:p>
            <w:r>
              <w:rPr>
                <w:b w:val="false"/>
                <w:bCs w:val="false"/>
                <w:color w:val="000000"/>
                <w:sz w:val="17"/>
                <w:szCs w:val="17"/>
              </w:rPr>
              <w:t xml:space="preserve">Excellent – includes Windows Defender enumeration tests.</w:t>
            </w:r>
          </w:p>
        </w:tc>
      </w:tr>
      <w:tr>
        <w:tc>
          <w:tcPr>
            <w:tcW w:type="dxa" w:w="3100"/>
            <w:tcMar>
              <w:top w:type="dxa" w:w="60"/>
              <w:left w:type="dxa" w:w="90"/>
              <w:bottom w:type="dxa" w:w="60"/>
              <w:right w:type="dxa" w:w="90"/>
            </w:tcMar>
          </w:tcPr>
          <w:p>
            <w:r>
              <w:rPr>
                <w:b w:val="false"/>
                <w:bCs w:val="false"/>
                <w:color w:val="000000"/>
                <w:sz w:val="17"/>
                <w:szCs w:val="17"/>
              </w:rPr>
              <w:t xml:space="preserve">T1136.001 – Create Local Account</w:t>
            </w:r>
          </w:p>
        </w:tc>
        <w:tc>
          <w:tcPr>
            <w:tcW w:type="dxa" w:w="1000"/>
            <w:tcMar>
              <w:top w:type="dxa" w:w="60"/>
              <w:left w:type="dxa" w:w="90"/>
              <w:bottom w:type="dxa" w:w="60"/>
              <w:right w:type="dxa" w:w="90"/>
            </w:tcMar>
          </w:tcPr>
          <w:p>
            <w:r>
              <w:rPr>
                <w:b w:val="false"/>
                <w:bCs w:val="false"/>
                <w:color w:val="000000"/>
                <w:sz w:val="18"/>
                <w:szCs w:val="18"/>
              </w:rPr>
              <w:t xml:space="preserve">10</w:t>
            </w:r>
          </w:p>
        </w:tc>
        <w:tc>
          <w:tcPr>
            <w:tcW w:type="dxa" w:w="5100"/>
            <w:tcMar>
              <w:top w:type="dxa" w:w="60"/>
              <w:left w:type="dxa" w:w="90"/>
              <w:bottom w:type="dxa" w:w="60"/>
              <w:right w:type="dxa" w:w="90"/>
            </w:tcMar>
          </w:tcPr>
          <w:p>
            <w:r>
              <w:rPr>
                <w:b w:val="false"/>
                <w:bCs w:val="false"/>
                <w:color w:val="000000"/>
                <w:sz w:val="17"/>
                <w:szCs w:val="17"/>
              </w:rPr>
              <w:t xml:space="preserve">Strong.</w:t>
            </w:r>
          </w:p>
        </w:tc>
      </w:tr>
      <w:tr>
        <w:tc>
          <w:tcPr>
            <w:tcW w:type="dxa" w:w="3100"/>
            <w:tcMar>
              <w:top w:type="dxa" w:w="60"/>
              <w:left w:type="dxa" w:w="90"/>
              <w:bottom w:type="dxa" w:w="60"/>
              <w:right w:type="dxa" w:w="90"/>
            </w:tcMar>
          </w:tcPr>
          <w:p>
            <w:r>
              <w:rPr>
                <w:b w:val="false"/>
                <w:bCs w:val="false"/>
                <w:color w:val="000000"/>
                <w:sz w:val="17"/>
                <w:szCs w:val="17"/>
              </w:rPr>
              <w:t xml:space="preserve">T1047 – WMI</w:t>
            </w:r>
          </w:p>
        </w:tc>
        <w:tc>
          <w:tcPr>
            <w:tcW w:type="dxa" w:w="1000"/>
            <w:tcMar>
              <w:top w:type="dxa" w:w="60"/>
              <w:left w:type="dxa" w:w="90"/>
              <w:bottom w:type="dxa" w:w="60"/>
              <w:right w:type="dxa" w:w="90"/>
            </w:tcMar>
          </w:tcPr>
          <w:p>
            <w:r>
              <w:rPr>
                <w:b w:val="false"/>
                <w:bCs w:val="false"/>
                <w:color w:val="000000"/>
                <w:sz w:val="18"/>
                <w:szCs w:val="18"/>
              </w:rPr>
              <w:t xml:space="preserve">10</w:t>
            </w:r>
          </w:p>
        </w:tc>
        <w:tc>
          <w:tcPr>
            <w:tcW w:type="dxa" w:w="5100"/>
            <w:tcMar>
              <w:top w:type="dxa" w:w="60"/>
              <w:left w:type="dxa" w:w="90"/>
              <w:bottom w:type="dxa" w:w="60"/>
              <w:right w:type="dxa" w:w="90"/>
            </w:tcMar>
          </w:tcPr>
          <w:p>
            <w:r>
              <w:rPr>
                <w:b w:val="false"/>
                <w:bCs w:val="false"/>
                <w:color w:val="000000"/>
                <w:sz w:val="17"/>
                <w:szCs w:val="17"/>
              </w:rPr>
              <w:t xml:space="preserve">Excellent – core lateral movement mechanism.</w:t>
            </w:r>
          </w:p>
        </w:tc>
      </w:tr>
      <w:tr>
        <w:tc>
          <w:tcPr>
            <w:tcW w:type="dxa" w:w="3100"/>
            <w:tcMar>
              <w:top w:type="dxa" w:w="60"/>
              <w:left w:type="dxa" w:w="90"/>
              <w:bottom w:type="dxa" w:w="60"/>
              <w:right w:type="dxa" w:w="90"/>
            </w:tcMar>
          </w:tcPr>
          <w:p>
            <w:r>
              <w:rPr>
                <w:b w:val="false"/>
                <w:bCs w:val="false"/>
                <w:color w:val="000000"/>
                <w:sz w:val="17"/>
                <w:szCs w:val="17"/>
              </w:rPr>
              <w:t xml:space="preserve">T1486 – Data Encrypted for Impact</w:t>
            </w:r>
          </w:p>
        </w:tc>
        <w:tc>
          <w:tcPr>
            <w:tcW w:type="dxa" w:w="1000"/>
            <w:tcMar>
              <w:top w:type="dxa" w:w="60"/>
              <w:left w:type="dxa" w:w="90"/>
              <w:bottom w:type="dxa" w:w="60"/>
              <w:right w:type="dxa" w:w="90"/>
            </w:tcMar>
          </w:tcPr>
          <w:p>
            <w:r>
              <w:rPr>
                <w:b w:val="false"/>
                <w:bCs w:val="false"/>
                <w:color w:val="000000"/>
                <w:sz w:val="18"/>
                <w:szCs w:val="18"/>
              </w:rPr>
              <w:t xml:space="preserve">10</w:t>
            </w:r>
          </w:p>
        </w:tc>
        <w:tc>
          <w:tcPr>
            <w:tcW w:type="dxa" w:w="5100"/>
            <w:tcMar>
              <w:top w:type="dxa" w:w="60"/>
              <w:left w:type="dxa" w:w="90"/>
              <w:bottom w:type="dxa" w:w="60"/>
              <w:right w:type="dxa" w:w="90"/>
            </w:tcMar>
          </w:tcPr>
          <w:p>
            <w:r>
              <w:rPr>
                <w:b w:val="false"/>
                <w:bCs w:val="false"/>
                <w:color w:val="000000"/>
                <w:sz w:val="17"/>
                <w:szCs w:val="17"/>
              </w:rPr>
              <w:t xml:space="preserve">Good; no Ghost-specific test. Isolated VM only.</w:t>
            </w:r>
          </w:p>
        </w:tc>
      </w:tr>
      <w:tr>
        <w:tc>
          <w:tcPr>
            <w:tcW w:type="dxa" w:w="3100"/>
            <w:tcMar>
              <w:top w:type="dxa" w:w="60"/>
              <w:left w:type="dxa" w:w="90"/>
              <w:bottom w:type="dxa" w:w="60"/>
              <w:right w:type="dxa" w:w="90"/>
            </w:tcMar>
          </w:tcPr>
          <w:p>
            <w:r>
              <w:rPr>
                <w:b w:val="false"/>
                <w:bCs w:val="false"/>
                <w:color w:val="000000"/>
                <w:sz w:val="17"/>
                <w:szCs w:val="17"/>
              </w:rPr>
              <w:t xml:space="preserve">T1057 – Process Discovery</w:t>
            </w:r>
          </w:p>
        </w:tc>
        <w:tc>
          <w:tcPr>
            <w:tcW w:type="dxa" w:w="1000"/>
            <w:tcMar>
              <w:top w:type="dxa" w:w="60"/>
              <w:left w:type="dxa" w:w="90"/>
              <w:bottom w:type="dxa" w:w="60"/>
              <w:right w:type="dxa" w:w="90"/>
            </w:tcMar>
          </w:tcPr>
          <w:p>
            <w:r>
              <w:rPr>
                <w:b w:val="false"/>
                <w:bCs w:val="false"/>
                <w:color w:val="000000"/>
                <w:sz w:val="18"/>
                <w:szCs w:val="18"/>
              </w:rPr>
              <w:t xml:space="preserve">9</w:t>
            </w:r>
          </w:p>
        </w:tc>
        <w:tc>
          <w:tcPr>
            <w:tcW w:type="dxa" w:w="5100"/>
            <w:tcMar>
              <w:top w:type="dxa" w:w="60"/>
              <w:left w:type="dxa" w:w="90"/>
              <w:bottom w:type="dxa" w:w="60"/>
              <w:right w:type="dxa" w:w="90"/>
            </w:tcMar>
          </w:tcPr>
          <w:p>
            <w:r>
              <w:rPr>
                <w:b w:val="false"/>
                <w:bCs w:val="false"/>
                <w:color w:val="000000"/>
                <w:sz w:val="17"/>
                <w:szCs w:val="17"/>
              </w:rPr>
              <w:t xml:space="preserve">Strong.</w:t>
            </w:r>
          </w:p>
        </w:tc>
      </w:tr>
      <w:tr>
        <w:tc>
          <w:tcPr>
            <w:tcW w:type="dxa" w:w="3100"/>
            <w:tcMar>
              <w:top w:type="dxa" w:w="60"/>
              <w:left w:type="dxa" w:w="90"/>
              <w:bottom w:type="dxa" w:w="60"/>
              <w:right w:type="dxa" w:w="90"/>
            </w:tcMar>
          </w:tcPr>
          <w:p>
            <w:r>
              <w:rPr>
                <w:b w:val="false"/>
                <w:bCs w:val="false"/>
                <w:color w:val="000000"/>
                <w:sz w:val="17"/>
                <w:szCs w:val="17"/>
              </w:rPr>
              <w:t xml:space="preserve">T1003 – OS Credential Dumping</w:t>
            </w:r>
          </w:p>
        </w:tc>
        <w:tc>
          <w:tcPr>
            <w:tcW w:type="dxa" w:w="1000"/>
            <w:tcMar>
              <w:top w:type="dxa" w:w="60"/>
              <w:left w:type="dxa" w:w="90"/>
              <w:bottom w:type="dxa" w:w="60"/>
              <w:right w:type="dxa" w:w="90"/>
            </w:tcMar>
          </w:tcPr>
          <w:p>
            <w:r>
              <w:rPr>
                <w:b w:val="false"/>
                <w:bCs w:val="false"/>
                <w:color w:val="000000"/>
                <w:sz w:val="18"/>
                <w:szCs w:val="18"/>
              </w:rPr>
              <w:t xml:space="preserve">7</w:t>
            </w:r>
          </w:p>
        </w:tc>
        <w:tc>
          <w:tcPr>
            <w:tcW w:type="dxa" w:w="5100"/>
            <w:tcMar>
              <w:top w:type="dxa" w:w="60"/>
              <w:left w:type="dxa" w:w="90"/>
              <w:bottom w:type="dxa" w:w="60"/>
              <w:right w:type="dxa" w:w="90"/>
            </w:tcMar>
          </w:tcPr>
          <w:p>
            <w:r>
              <w:rPr>
                <w:b w:val="false"/>
                <w:bCs w:val="false"/>
                <w:color w:val="000000"/>
                <w:sz w:val="17"/>
                <w:szCs w:val="17"/>
              </w:rPr>
              <w:t xml:space="preserve">Good; sub-techniques exist for deeper Mimikatz/LSASS coverage.</w:t>
            </w:r>
          </w:p>
        </w:tc>
      </w:tr>
      <w:tr>
        <w:tc>
          <w:tcPr>
            <w:tcW w:type="dxa" w:w="3100"/>
            <w:tcMar>
              <w:top w:type="dxa" w:w="60"/>
              <w:left w:type="dxa" w:w="90"/>
              <w:bottom w:type="dxa" w:w="60"/>
              <w:right w:type="dxa" w:w="90"/>
            </w:tcMar>
          </w:tcPr>
          <w:p>
            <w:r>
              <w:rPr>
                <w:b w:val="false"/>
                <w:bCs w:val="false"/>
                <w:color w:val="000000"/>
                <w:sz w:val="17"/>
                <w:szCs w:val="17"/>
              </w:rPr>
              <w:t xml:space="preserve">T1059.003 – Windows Command Shell</w:t>
            </w:r>
          </w:p>
        </w:tc>
        <w:tc>
          <w:tcPr>
            <w:tcW w:type="dxa" w:w="1000"/>
            <w:tcMar>
              <w:top w:type="dxa" w:w="60"/>
              <w:left w:type="dxa" w:w="90"/>
              <w:bottom w:type="dxa" w:w="60"/>
              <w:right w:type="dxa" w:w="90"/>
            </w:tcMar>
          </w:tcPr>
          <w:p>
            <w:r>
              <w:rPr>
                <w:b w:val="false"/>
                <w:bCs w:val="false"/>
                <w:color w:val="000000"/>
                <w:sz w:val="18"/>
                <w:szCs w:val="18"/>
              </w:rPr>
              <w:t xml:space="preserve">6</w:t>
            </w:r>
          </w:p>
        </w:tc>
        <w:tc>
          <w:tcPr>
            <w:tcW w:type="dxa" w:w="5100"/>
            <w:tcMar>
              <w:top w:type="dxa" w:w="60"/>
              <w:left w:type="dxa" w:w="90"/>
              <w:bottom w:type="dxa" w:w="60"/>
              <w:right w:type="dxa" w:w="90"/>
            </w:tcMar>
          </w:tcPr>
          <w:p>
            <w:r>
              <w:rPr>
                <w:b w:val="false"/>
                <w:bCs w:val="false"/>
                <w:color w:val="000000"/>
                <w:sz w:val="17"/>
                <w:szCs w:val="17"/>
              </w:rPr>
              <w:t xml:space="preserve">Good.</w:t>
            </w:r>
          </w:p>
        </w:tc>
      </w:tr>
      <w:tr>
        <w:tc>
          <w:tcPr>
            <w:tcW w:type="dxa" w:w="3100"/>
            <w:tcMar>
              <w:top w:type="dxa" w:w="60"/>
              <w:left w:type="dxa" w:w="90"/>
              <w:bottom w:type="dxa" w:w="60"/>
              <w:right w:type="dxa" w:w="90"/>
            </w:tcMar>
          </w:tcPr>
          <w:p>
            <w:r>
              <w:rPr>
                <w:b w:val="false"/>
                <w:bCs w:val="false"/>
                <w:color w:val="000000"/>
                <w:sz w:val="17"/>
                <w:szCs w:val="17"/>
              </w:rPr>
              <w:t xml:space="preserve">T1518 – Software Discovery</w:t>
            </w:r>
          </w:p>
        </w:tc>
        <w:tc>
          <w:tcPr>
            <w:tcW w:type="dxa" w:w="1000"/>
            <w:tcMar>
              <w:top w:type="dxa" w:w="60"/>
              <w:left w:type="dxa" w:w="90"/>
              <w:bottom w:type="dxa" w:w="60"/>
              <w:right w:type="dxa" w:w="90"/>
            </w:tcMar>
          </w:tcPr>
          <w:p>
            <w:r>
              <w:rPr>
                <w:b w:val="false"/>
                <w:bCs w:val="false"/>
                <w:color w:val="000000"/>
                <w:sz w:val="18"/>
                <w:szCs w:val="18"/>
              </w:rPr>
              <w:t xml:space="preserve">6</w:t>
            </w:r>
          </w:p>
        </w:tc>
        <w:tc>
          <w:tcPr>
            <w:tcW w:type="dxa" w:w="5100"/>
            <w:tcMar>
              <w:top w:type="dxa" w:w="60"/>
              <w:left w:type="dxa" w:w="90"/>
              <w:bottom w:type="dxa" w:w="60"/>
              <w:right w:type="dxa" w:w="90"/>
            </w:tcMar>
          </w:tcPr>
          <w:p>
            <w:r>
              <w:rPr>
                <w:b w:val="false"/>
                <w:bCs w:val="false"/>
                <w:color w:val="000000"/>
                <w:sz w:val="17"/>
                <w:szCs w:val="17"/>
              </w:rPr>
              <w:t xml:space="preserve">Good.</w:t>
            </w:r>
          </w:p>
        </w:tc>
      </w:tr>
      <w:tr>
        <w:tc>
          <w:tcPr>
            <w:tcW w:type="dxa" w:w="3100"/>
            <w:tcMar>
              <w:top w:type="dxa" w:w="60"/>
              <w:left w:type="dxa" w:w="90"/>
              <w:bottom w:type="dxa" w:w="60"/>
              <w:right w:type="dxa" w:w="90"/>
            </w:tcMar>
          </w:tcPr>
          <w:p>
            <w:r>
              <w:rPr>
                <w:b w:val="false"/>
                <w:bCs w:val="false"/>
                <w:color w:val="000000"/>
                <w:sz w:val="17"/>
                <w:szCs w:val="17"/>
              </w:rPr>
              <w:t xml:space="preserve">T1136.002 – Create Domain Account</w:t>
            </w:r>
          </w:p>
        </w:tc>
        <w:tc>
          <w:tcPr>
            <w:tcW w:type="dxa" w:w="1000"/>
            <w:tcMar>
              <w:top w:type="dxa" w:w="60"/>
              <w:left w:type="dxa" w:w="90"/>
              <w:bottom w:type="dxa" w:w="60"/>
              <w:right w:type="dxa" w:w="90"/>
            </w:tcMar>
          </w:tcPr>
          <w:p>
            <w:r>
              <w:rPr>
                <w:b w:val="false"/>
                <w:bCs w:val="false"/>
                <w:color w:val="000000"/>
                <w:sz w:val="18"/>
                <w:szCs w:val="18"/>
              </w:rPr>
              <w:t xml:space="preserve">5</w:t>
            </w:r>
          </w:p>
        </w:tc>
        <w:tc>
          <w:tcPr>
            <w:tcW w:type="dxa" w:w="5100"/>
            <w:tcMar>
              <w:top w:type="dxa" w:w="60"/>
              <w:left w:type="dxa" w:w="90"/>
              <w:bottom w:type="dxa" w:w="60"/>
              <w:right w:type="dxa" w:w="90"/>
            </w:tcMar>
          </w:tcPr>
          <w:p>
            <w:r>
              <w:rPr>
                <w:b w:val="false"/>
                <w:bCs w:val="false"/>
                <w:color w:val="000000"/>
                <w:sz w:val="17"/>
                <w:szCs w:val="17"/>
              </w:rPr>
              <w:t xml:space="preserve">Good.</w:t>
            </w:r>
          </w:p>
        </w:tc>
      </w:tr>
      <w:tr>
        <w:tc>
          <w:tcPr>
            <w:tcW w:type="dxa" w:w="3100"/>
            <w:tcMar>
              <w:top w:type="dxa" w:w="60"/>
              <w:left w:type="dxa" w:w="90"/>
              <w:bottom w:type="dxa" w:w="60"/>
              <w:right w:type="dxa" w:w="90"/>
            </w:tcMar>
          </w:tcPr>
          <w:p>
            <w:r>
              <w:rPr>
                <w:b w:val="false"/>
                <w:bCs w:val="false"/>
                <w:color w:val="000000"/>
                <w:sz w:val="17"/>
                <w:szCs w:val="17"/>
              </w:rPr>
              <w:t xml:space="preserve">T1134.001 – Token Impersonation/Theft</w:t>
            </w:r>
          </w:p>
        </w:tc>
        <w:tc>
          <w:tcPr>
            <w:tcW w:type="dxa" w:w="1000"/>
            <w:tcMar>
              <w:top w:type="dxa" w:w="60"/>
              <w:left w:type="dxa" w:w="90"/>
              <w:bottom w:type="dxa" w:w="60"/>
              <w:right w:type="dxa" w:w="90"/>
            </w:tcMar>
          </w:tcPr>
          <w:p>
            <w:r>
              <w:rPr>
                <w:b w:val="false"/>
                <w:bCs w:val="false"/>
                <w:color w:val="000000"/>
                <w:sz w:val="18"/>
                <w:szCs w:val="18"/>
              </w:rPr>
              <w:t xml:space="preserve">5</w:t>
            </w:r>
          </w:p>
        </w:tc>
        <w:tc>
          <w:tcPr>
            <w:tcW w:type="dxa" w:w="5100"/>
            <w:tcMar>
              <w:top w:type="dxa" w:w="60"/>
              <w:left w:type="dxa" w:w="90"/>
              <w:bottom w:type="dxa" w:w="60"/>
              <w:right w:type="dxa" w:w="90"/>
            </w:tcMar>
          </w:tcPr>
          <w:p>
            <w:r>
              <w:rPr>
                <w:b w:val="false"/>
                <w:bCs w:val="false"/>
                <w:color w:val="000000"/>
                <w:sz w:val="17"/>
                <w:szCs w:val="17"/>
              </w:rPr>
              <w:t xml:space="preserve">Excellent, direct hit – literal “Bad Potato” test matches Ghost tooling.</w:t>
            </w:r>
          </w:p>
        </w:tc>
      </w:tr>
      <w:tr>
        <w:tc>
          <w:tcPr>
            <w:tcW w:type="dxa" w:w="3100"/>
            <w:tcMar>
              <w:top w:type="dxa" w:w="60"/>
              <w:left w:type="dxa" w:w="90"/>
              <w:bottom w:type="dxa" w:w="60"/>
              <w:right w:type="dxa" w:w="90"/>
            </w:tcMar>
          </w:tcPr>
          <w:p>
            <w:r>
              <w:rPr>
                <w:b w:val="false"/>
                <w:bCs w:val="false"/>
                <w:color w:val="000000"/>
                <w:sz w:val="17"/>
                <w:szCs w:val="17"/>
              </w:rPr>
              <w:t xml:space="preserve">T1132.001 – Standard Encoding</w:t>
            </w:r>
          </w:p>
        </w:tc>
        <w:tc>
          <w:tcPr>
            <w:tcW w:type="dxa" w:w="1000"/>
            <w:tcMar>
              <w:top w:type="dxa" w:w="60"/>
              <w:left w:type="dxa" w:w="90"/>
              <w:bottom w:type="dxa" w:w="60"/>
              <w:right w:type="dxa" w:w="90"/>
            </w:tcMar>
          </w:tcPr>
          <w:p>
            <w:r>
              <w:rPr>
                <w:b w:val="false"/>
                <w:bCs w:val="false"/>
                <w:color w:val="000000"/>
                <w:sz w:val="18"/>
                <w:szCs w:val="18"/>
              </w:rPr>
              <w:t xml:space="preserve">3</w:t>
            </w:r>
          </w:p>
        </w:tc>
        <w:tc>
          <w:tcPr>
            <w:tcW w:type="dxa" w:w="5100"/>
            <w:tcMar>
              <w:top w:type="dxa" w:w="60"/>
              <w:left w:type="dxa" w:w="90"/>
              <w:bottom w:type="dxa" w:w="60"/>
              <w:right w:type="dxa" w:w="90"/>
            </w:tcMar>
          </w:tcPr>
          <w:p>
            <w:r>
              <w:rPr>
                <w:b w:val="false"/>
                <w:bCs w:val="false"/>
                <w:color w:val="000000"/>
                <w:sz w:val="17"/>
                <w:szCs w:val="17"/>
              </w:rPr>
              <w:t xml:space="preserve">Good – “Base64 Encoded data” maps to the encoded-command TTP.</w:t>
            </w:r>
          </w:p>
        </w:tc>
      </w:tr>
      <w:tr>
        <w:tc>
          <w:tcPr>
            <w:tcW w:type="dxa" w:w="3100"/>
            <w:tcMar>
              <w:top w:type="dxa" w:w="60"/>
              <w:left w:type="dxa" w:w="90"/>
              <w:bottom w:type="dxa" w:w="60"/>
              <w:right w:type="dxa" w:w="90"/>
            </w:tcMar>
          </w:tcPr>
          <w:p>
            <w:r>
              <w:rPr>
                <w:b w:val="false"/>
                <w:bCs w:val="false"/>
                <w:color w:val="000000"/>
                <w:sz w:val="17"/>
                <w:szCs w:val="17"/>
              </w:rPr>
              <w:t xml:space="preserve">T1564.003 – Hidden Window</w:t>
            </w:r>
          </w:p>
        </w:tc>
        <w:tc>
          <w:tcPr>
            <w:tcW w:type="dxa" w:w="1000"/>
            <w:tcMar>
              <w:top w:type="dxa" w:w="60"/>
              <w:left w:type="dxa" w:w="90"/>
              <w:bottom w:type="dxa" w:w="60"/>
              <w:right w:type="dxa" w:w="90"/>
            </w:tcMar>
          </w:tcPr>
          <w:p>
            <w:r>
              <w:rPr>
                <w:b w:val="false"/>
                <w:bCs w:val="false"/>
                <w:color w:val="000000"/>
                <w:sz w:val="18"/>
                <w:szCs w:val="18"/>
              </w:rPr>
              <w:t xml:space="preserve">3</w:t>
            </w:r>
          </w:p>
        </w:tc>
        <w:tc>
          <w:tcPr>
            <w:tcW w:type="dxa" w:w="5100"/>
            <w:tcMar>
              <w:top w:type="dxa" w:w="60"/>
              <w:left w:type="dxa" w:w="90"/>
              <w:bottom w:type="dxa" w:w="60"/>
              <w:right w:type="dxa" w:w="90"/>
            </w:tcMar>
          </w:tcPr>
          <w:p>
            <w:r>
              <w:rPr>
                <w:b w:val="false"/>
                <w:bCs w:val="false"/>
                <w:color w:val="000000"/>
                <w:sz w:val="17"/>
                <w:szCs w:val="17"/>
              </w:rPr>
              <w:t xml:space="preserve">Direct hit on the -w hidden flag.</w:t>
            </w:r>
          </w:p>
        </w:tc>
      </w:tr>
      <w:tr>
        <w:tc>
          <w:tcPr>
            <w:tcW w:type="dxa" w:w="3100"/>
            <w:tcMar>
              <w:top w:type="dxa" w:w="60"/>
              <w:left w:type="dxa" w:w="90"/>
              <w:bottom w:type="dxa" w:w="60"/>
              <w:right w:type="dxa" w:w="90"/>
            </w:tcMar>
          </w:tcPr>
          <w:p>
            <w:r>
              <w:rPr>
                <w:b w:val="false"/>
                <w:bCs w:val="false"/>
                <w:color w:val="000000"/>
                <w:sz w:val="17"/>
                <w:szCs w:val="17"/>
              </w:rPr>
              <w:t xml:space="preserve">T1071.001 – Web Protocols</w:t>
            </w:r>
          </w:p>
        </w:tc>
        <w:tc>
          <w:tcPr>
            <w:tcW w:type="dxa" w:w="1000"/>
            <w:tcMar>
              <w:top w:type="dxa" w:w="60"/>
              <w:left w:type="dxa" w:w="90"/>
              <w:bottom w:type="dxa" w:w="60"/>
              <w:right w:type="dxa" w:w="90"/>
            </w:tcMar>
          </w:tcPr>
          <w:p>
            <w:r>
              <w:rPr>
                <w:b w:val="false"/>
                <w:bCs w:val="false"/>
                <w:color w:val="000000"/>
                <w:sz w:val="18"/>
                <w:szCs w:val="18"/>
              </w:rPr>
              <w:t xml:space="preserve">3</w:t>
            </w:r>
          </w:p>
        </w:tc>
        <w:tc>
          <w:tcPr>
            <w:tcW w:type="dxa" w:w="5100"/>
            <w:tcMar>
              <w:top w:type="dxa" w:w="60"/>
              <w:left w:type="dxa" w:w="90"/>
              <w:bottom w:type="dxa" w:w="60"/>
              <w:right w:type="dxa" w:w="90"/>
            </w:tcMar>
          </w:tcPr>
          <w:p>
            <w:r>
              <w:rPr>
                <w:b w:val="false"/>
                <w:bCs w:val="false"/>
                <w:color w:val="000000"/>
                <w:sz w:val="17"/>
                <w:szCs w:val="17"/>
              </w:rPr>
              <w:t xml:space="preserve">Moderate – not Beacon-specific.</w:t>
            </w:r>
          </w:p>
        </w:tc>
      </w:tr>
      <w:tr>
        <w:tc>
          <w:tcPr>
            <w:tcW w:type="dxa" w:w="3100"/>
            <w:tcMar>
              <w:top w:type="dxa" w:w="60"/>
              <w:left w:type="dxa" w:w="90"/>
              <w:bottom w:type="dxa" w:w="60"/>
              <w:right w:type="dxa" w:w="90"/>
            </w:tcMar>
          </w:tcPr>
          <w:p>
            <w:r>
              <w:rPr>
                <w:b w:val="false"/>
                <w:bCs w:val="false"/>
                <w:color w:val="000000"/>
                <w:sz w:val="17"/>
                <w:szCs w:val="17"/>
              </w:rPr>
              <w:t xml:space="preserve">T1041 – Exfil Over C2</w:t>
            </w:r>
          </w:p>
        </w:tc>
        <w:tc>
          <w:tcPr>
            <w:tcW w:type="dxa" w:w="1000"/>
            <w:tcMar>
              <w:top w:type="dxa" w:w="60"/>
              <w:left w:type="dxa" w:w="90"/>
              <w:bottom w:type="dxa" w:w="60"/>
              <w:right w:type="dxa" w:w="90"/>
            </w:tcMar>
          </w:tcPr>
          <w:p>
            <w:r>
              <w:rPr>
                <w:b w:val="false"/>
                <w:bCs w:val="false"/>
                <w:color w:val="000000"/>
                <w:sz w:val="18"/>
                <w:szCs w:val="18"/>
              </w:rPr>
              <w:t xml:space="preserve">2</w:t>
            </w:r>
          </w:p>
        </w:tc>
        <w:tc>
          <w:tcPr>
            <w:tcW w:type="dxa" w:w="5100"/>
            <w:tcMar>
              <w:top w:type="dxa" w:w="60"/>
              <w:left w:type="dxa" w:w="90"/>
              <w:bottom w:type="dxa" w:w="60"/>
              <w:right w:type="dxa" w:w="90"/>
            </w:tcMar>
          </w:tcPr>
          <w:p>
            <w:r>
              <w:rPr>
                <w:b w:val="false"/>
                <w:bCs w:val="false"/>
                <w:color w:val="000000"/>
                <w:sz w:val="17"/>
                <w:szCs w:val="17"/>
              </w:rPr>
              <w:t xml:space="preserve">Moderate.</w:t>
            </w:r>
          </w:p>
        </w:tc>
      </w:tr>
      <w:tr>
        <w:tc>
          <w:tcPr>
            <w:tcW w:type="dxa" w:w="3100"/>
            <w:tcMar>
              <w:top w:type="dxa" w:w="60"/>
              <w:left w:type="dxa" w:w="90"/>
              <w:bottom w:type="dxa" w:w="60"/>
              <w:right w:type="dxa" w:w="90"/>
            </w:tcMar>
          </w:tcPr>
          <w:p>
            <w:r>
              <w:rPr>
                <w:b w:val="false"/>
                <w:bCs w:val="false"/>
                <w:color w:val="000000"/>
                <w:sz w:val="17"/>
                <w:szCs w:val="17"/>
              </w:rPr>
              <w:t xml:space="preserve">T1567.002 – Exfil to Cloud Storage</w:t>
            </w:r>
          </w:p>
        </w:tc>
        <w:tc>
          <w:tcPr>
            <w:tcW w:type="dxa" w:w="1000"/>
            <w:tcMar>
              <w:top w:type="dxa" w:w="60"/>
              <w:left w:type="dxa" w:w="90"/>
              <w:bottom w:type="dxa" w:w="60"/>
              <w:right w:type="dxa" w:w="90"/>
            </w:tcMar>
          </w:tcPr>
          <w:p>
            <w:r>
              <w:rPr>
                <w:b w:val="false"/>
                <w:bCs w:val="false"/>
                <w:color w:val="000000"/>
                <w:sz w:val="18"/>
                <w:szCs w:val="18"/>
              </w:rPr>
              <w:t xml:space="preserve">2</w:t>
            </w:r>
          </w:p>
        </w:tc>
        <w:tc>
          <w:tcPr>
            <w:tcW w:type="dxa" w:w="5100"/>
            <w:tcMar>
              <w:top w:type="dxa" w:w="60"/>
              <w:left w:type="dxa" w:w="90"/>
              <w:bottom w:type="dxa" w:w="60"/>
              <w:right w:type="dxa" w:w="90"/>
            </w:tcMar>
          </w:tcPr>
          <w:p>
            <w:r>
              <w:rPr>
                <w:b w:val="false"/>
                <w:bCs w:val="false"/>
                <w:color w:val="000000"/>
                <w:sz w:val="17"/>
                <w:szCs w:val="17"/>
              </w:rPr>
              <w:t xml:space="preserve">Direct hit – rclone-to-Mega test matches reported usage exactly.</w:t>
            </w:r>
          </w:p>
        </w:tc>
      </w:tr>
    </w:tbl>
    <w:p>
      <w:r>
        <w:br w:type="page"/>
      </w:r>
    </w:p>
    <w:p>
      <w:pPr>
        <w:pStyle w:val="Heading2"/>
        <w:spacing w:after="90" w:before="220"/>
      </w:pPr>
      <w:r>
        <w:rPr>
          <w:b/>
          <w:bCs/>
          <w:color w:val="2E74B5"/>
          <w:sz w:val="24"/>
          <w:szCs w:val="24"/>
        </w:rPr>
        <w:t xml:space="preserve">Techniques With NO Atomic Coverage (Gaps)</w:t>
      </w:r>
    </w:p>
    <w:p>
      <w:pPr>
        <w:spacing w:after="120" w:line="276"/>
      </w:pPr>
      <w:r>
        <w:rPr>
          <w:sz w:val="21"/>
          <w:szCs w:val="21"/>
        </w:rPr>
        <w:t xml:space="preserve">Verified absent from atomics/ on master as of 29 July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val="clear"/>
            <w:tcMar>
              <w:top w:type="dxa" w:w="60"/>
              <w:left w:type="dxa" w:w="90"/>
              <w:bottom w:type="dxa" w:w="60"/>
              <w:right w:type="dxa" w:w="90"/>
            </w:tcMar>
          </w:tcPr>
          <w:p>
            <w:r>
              <w:rPr>
                <w:b/>
                <w:bCs/>
                <w:color w:val="FFFFFF"/>
                <w:sz w:val="18"/>
                <w:szCs w:val="18"/>
              </w:rPr>
              <w:t xml:space="preserve">Technique</w:t>
            </w:r>
          </w:p>
        </w:tc>
        <w:tc>
          <w:tcPr>
            <w:tcW w:type="dxa" w:w="6000"/>
            <w:shd w:fill="1F3864" w:val="clear"/>
            <w:tcMar>
              <w:top w:type="dxa" w:w="60"/>
              <w:left w:type="dxa" w:w="90"/>
              <w:bottom w:type="dxa" w:w="60"/>
              <w:right w:type="dxa" w:w="90"/>
            </w:tcMar>
          </w:tcPr>
          <w:p>
            <w:r>
              <w:rPr>
                <w:b/>
                <w:bCs/>
                <w:color w:val="FFFFFF"/>
                <w:sz w:val="18"/>
                <w:szCs w:val="18"/>
              </w:rPr>
              <w:t xml:space="preserve">Gap and recommended action</w:t>
            </w:r>
          </w:p>
        </w:tc>
      </w:tr>
      <w:tr>
        <w:tc>
          <w:tcPr>
            <w:tcW w:type="dxa" w:w="3200"/>
            <w:tcMar>
              <w:top w:type="dxa" w:w="60"/>
              <w:left w:type="dxa" w:w="90"/>
              <w:bottom w:type="dxa" w:w="60"/>
              <w:right w:type="dxa" w:w="90"/>
            </w:tcMar>
          </w:tcPr>
          <w:p>
            <w:r>
              <w:rPr>
                <w:b/>
                <w:bCs/>
                <w:color w:val="C00000"/>
                <w:sz w:val="18"/>
                <w:szCs w:val="18"/>
              </w:rPr>
              <w:t xml:space="preserve">T1562.001 – Disable/Modify Tools</w:t>
            </w:r>
          </w:p>
        </w:tc>
        <w:tc>
          <w:tcPr>
            <w:tcW w:type="dxa" w:w="6000"/>
            <w:tcMar>
              <w:top w:type="dxa" w:w="60"/>
              <w:left w:type="dxa" w:w="90"/>
              <w:bottom w:type="dxa" w:w="60"/>
              <w:right w:type="dxa" w:w="90"/>
            </w:tcMar>
          </w:tcPr>
          <w:p>
            <w:r>
              <w:rPr>
                <w:b w:val="false"/>
                <w:bCs w:val="false"/>
                <w:color w:val="000000"/>
                <w:sz w:val="18"/>
                <w:szCs w:val="18"/>
              </w:rPr>
              <w:t xml:space="preserve">No T1562 directory exists at all. Most significant gap — the Set-MpPreference command is Ghost's most detectable artifact. Build a custom atomic; do not skip.</w:t>
            </w:r>
          </w:p>
        </w:tc>
      </w:tr>
      <w:tr>
        <w:tc>
          <w:tcPr>
            <w:tcW w:type="dxa" w:w="3200"/>
            <w:tcMar>
              <w:top w:type="dxa" w:w="60"/>
              <w:left w:type="dxa" w:w="90"/>
              <w:bottom w:type="dxa" w:w="60"/>
              <w:right w:type="dxa" w:w="90"/>
            </w:tcMar>
          </w:tcPr>
          <w:p>
            <w:r>
              <w:rPr>
                <w:b/>
                <w:bCs/>
                <w:color w:val="C00000"/>
                <w:sz w:val="18"/>
                <w:szCs w:val="18"/>
              </w:rPr>
              <w:t xml:space="preserve">T1070.001 – Clear Windows Event Logs</w:t>
            </w:r>
          </w:p>
        </w:tc>
        <w:tc>
          <w:tcPr>
            <w:tcW w:type="dxa" w:w="6000"/>
            <w:tcMar>
              <w:top w:type="dxa" w:w="60"/>
              <w:left w:type="dxa" w:w="90"/>
              <w:bottom w:type="dxa" w:w="60"/>
              <w:right w:type="dxa" w:w="90"/>
            </w:tcMar>
          </w:tcPr>
          <w:p>
            <w:r>
              <w:rPr>
                <w:b w:val="false"/>
                <w:bCs w:val="false"/>
                <w:color w:val="000000"/>
                <w:sz w:val="18"/>
                <w:szCs w:val="18"/>
              </w:rPr>
              <w:t xml:space="preserve">Parent T1070 exists but holds only two FSUtil tests, no log clearing. Build a custom atomic using wevtutil cl / Clear-EventLog.</w:t>
            </w:r>
          </w:p>
        </w:tc>
      </w:tr>
      <w:tr>
        <w:tc>
          <w:tcPr>
            <w:tcW w:type="dxa" w:w="3200"/>
            <w:tcMar>
              <w:top w:type="dxa" w:w="60"/>
              <w:left w:type="dxa" w:w="90"/>
              <w:bottom w:type="dxa" w:w="60"/>
              <w:right w:type="dxa" w:w="90"/>
            </w:tcMar>
          </w:tcPr>
          <w:p>
            <w:r>
              <w:rPr>
                <w:b/>
                <w:bCs/>
                <w:color w:val="C00000"/>
                <w:sz w:val="18"/>
                <w:szCs w:val="18"/>
              </w:rPr>
              <w:t xml:space="preserve">T1190 – Exploit Public-Facing App</w:t>
            </w:r>
          </w:p>
        </w:tc>
        <w:tc>
          <w:tcPr>
            <w:tcW w:type="dxa" w:w="6000"/>
            <w:tcMar>
              <w:top w:type="dxa" w:w="60"/>
              <w:left w:type="dxa" w:w="90"/>
              <w:bottom w:type="dxa" w:w="60"/>
              <w:right w:type="dxa" w:w="90"/>
            </w:tcMar>
          </w:tcPr>
          <w:p>
            <w:r>
              <w:rPr>
                <w:b w:val="false"/>
                <w:bCs w:val="false"/>
                <w:color w:val="000000"/>
                <w:sz w:val="18"/>
                <w:szCs w:val="18"/>
              </w:rPr>
              <w:t xml:space="preserve">No atomic (inherently CVE-specific). Validate via vulnerability scanning for the seven CVEs; use an isolated lab for live exploit validation.</w:t>
            </w:r>
          </w:p>
        </w:tc>
      </w:tr>
      <w:tr>
        <w:tc>
          <w:tcPr>
            <w:tcW w:type="dxa" w:w="3200"/>
            <w:tcMar>
              <w:top w:type="dxa" w:w="60"/>
              <w:left w:type="dxa" w:w="90"/>
              <w:bottom w:type="dxa" w:w="60"/>
              <w:right w:type="dxa" w:w="90"/>
            </w:tcMar>
          </w:tcPr>
          <w:p>
            <w:r>
              <w:rPr>
                <w:b/>
                <w:bCs/>
                <w:color w:val="C00000"/>
                <w:sz w:val="18"/>
                <w:szCs w:val="18"/>
              </w:rPr>
              <w:t xml:space="preserve">T1068 – Exploitation for Priv. Esc.</w:t>
            </w:r>
          </w:p>
        </w:tc>
        <w:tc>
          <w:tcPr>
            <w:tcW w:type="dxa" w:w="6000"/>
            <w:tcMar>
              <w:top w:type="dxa" w:w="60"/>
              <w:left w:type="dxa" w:w="90"/>
              <w:bottom w:type="dxa" w:w="60"/>
              <w:right w:type="dxa" w:w="90"/>
            </w:tcMar>
          </w:tcPr>
          <w:p>
            <w:r>
              <w:rPr>
                <w:b w:val="false"/>
                <w:bCs w:val="false"/>
                <w:color w:val="000000"/>
                <w:sz w:val="18"/>
                <w:szCs w:val="18"/>
              </w:rPr>
              <w:t xml:space="preserve">No atomic. Partially covered by T1134.001 “Bad/Juicy Potato” tests, which exercise the same tooling family.</w:t>
            </w:r>
          </w:p>
        </w:tc>
      </w:tr>
      <w:tr>
        <w:tc>
          <w:tcPr>
            <w:tcW w:type="dxa" w:w="3200"/>
            <w:tcMar>
              <w:top w:type="dxa" w:w="60"/>
              <w:left w:type="dxa" w:w="90"/>
              <w:bottom w:type="dxa" w:w="60"/>
              <w:right w:type="dxa" w:w="90"/>
            </w:tcMar>
          </w:tcPr>
          <w:p>
            <w:r>
              <w:rPr>
                <w:b/>
                <w:bCs/>
                <w:color w:val="C00000"/>
                <w:sz w:val="18"/>
                <w:szCs w:val="18"/>
              </w:rPr>
              <w:t xml:space="preserve">Lateral movement (chained)</w:t>
            </w:r>
          </w:p>
        </w:tc>
        <w:tc>
          <w:tcPr>
            <w:tcW w:type="dxa" w:w="6000"/>
            <w:tcMar>
              <w:top w:type="dxa" w:w="60"/>
              <w:left w:type="dxa" w:w="90"/>
              <w:bottom w:type="dxa" w:w="60"/>
              <w:right w:type="dxa" w:w="90"/>
            </w:tcMar>
          </w:tcPr>
          <w:p>
            <w:r>
              <w:rPr>
                <w:b w:val="false"/>
                <w:bCs w:val="false"/>
                <w:color w:val="000000"/>
                <w:sz w:val="18"/>
                <w:szCs w:val="18"/>
              </w:rPr>
              <w:t xml:space="preserve">No single atomic reproduces WMIC → encoded PowerShell → in-memory Beacon. Chain T1047 + T1132.001 + T1564.003 + T1105 manually.</w:t>
            </w:r>
          </w:p>
        </w:tc>
      </w:tr>
    </w:tbl>
    <w:p>
      <w:pPr>
        <w:spacing w:before="200"/>
      </w:pPr>
    </w:p>
    <w:p>
      <w:pPr>
        <w:pStyle w:val="Heading2"/>
        <w:spacing w:after="90" w:before="220"/>
      </w:pPr>
      <w:r>
        <w:rPr>
          <w:b/>
          <w:bCs/>
          <w:color w:val="2E74B5"/>
          <w:sz w:val="24"/>
          <w:szCs w:val="24"/>
        </w:rPr>
        <w:t xml:space="preserve">Recommended Prioritisation</w:t>
      </w:r>
    </w:p>
    <w:p>
      <w:pPr>
        <w:spacing w:after="120" w:line="276"/>
      </w:pPr>
      <w:r>
        <w:rPr>
          <w:i/>
          <w:iCs/>
          <w:color w:val="595959"/>
          <w:sz w:val="19"/>
          <w:szCs w:val="19"/>
        </w:rPr>
        <w:t xml:space="preserve">Ordered by (high confidence) × (available coverage) × (distinctiveness to this actor):</w:t>
      </w:r>
    </w:p>
    <w:p>
      <w:pPr>
        <w:pStyle w:val="ListParagraph"/>
        <w:numPr>
          <w:ilvl w:val="0"/>
          <w:numId w:val="3"/>
        </w:numPr>
        <w:spacing w:after="60" w:line="264"/>
      </w:pPr>
      <w:r>
        <w:rPr>
          <w:sz w:val="21"/>
          <w:szCs w:val="21"/>
        </w:rPr>
        <w:t xml:space="preserve">Custom atomic: the Set-MpPreference Defender-disable command (T1562.001). Highest priority precisely because it has no ART coverage — the exact command line is published, frequently used, and no legitimate admin workflow disables seven Defender protections in one invocation.</w:t>
      </w:r>
    </w:p>
    <w:p>
      <w:pPr>
        <w:pStyle w:val="ListParagraph"/>
        <w:numPr>
          <w:ilvl w:val="0"/>
          <w:numId w:val="3"/>
        </w:numPr>
        <w:spacing w:after="60" w:line="264"/>
      </w:pPr>
      <w:r>
        <w:rPr>
          <w:sz w:val="21"/>
          <w:szCs w:val="21"/>
        </w:rPr>
        <w:t xml:space="preserve">T1490 – Inhibit System Recovery (13 tests). Direct behavioural match, runs immediately pre-encryption, and is the last reliable interdiction point before data loss.</w:t>
      </w:r>
    </w:p>
    <w:p>
      <w:pPr>
        <w:pStyle w:val="ListParagraph"/>
        <w:numPr>
          <w:ilvl w:val="0"/>
          <w:numId w:val="3"/>
        </w:numPr>
        <w:spacing w:after="60" w:line="264"/>
      </w:pPr>
      <w:r>
        <w:rPr>
          <w:sz w:val="21"/>
          <w:szCs w:val="21"/>
        </w:rPr>
        <w:t xml:space="preserve">T1134.001 – Token Impersonation (5 tests, incl. “Bad Potato”). Direct tooling match to Ghost's BadPotato.exe/God.exe.</w:t>
      </w:r>
    </w:p>
    <w:p>
      <w:pPr>
        <w:pStyle w:val="ListParagraph"/>
        <w:numPr>
          <w:ilvl w:val="0"/>
          <w:numId w:val="3"/>
        </w:numPr>
        <w:spacing w:after="60" w:line="264"/>
      </w:pPr>
      <w:r>
        <w:rPr>
          <w:sz w:val="21"/>
          <w:szCs w:val="21"/>
        </w:rPr>
        <w:t xml:space="preserve">T1047 + T1132.001 + T1564.003 chained. Reproduces the signature lateral movement command; also validate a plain string-match detection on the constant encoded-command prefix.</w:t>
      </w:r>
    </w:p>
    <w:p>
      <w:pPr>
        <w:pStyle w:val="ListParagraph"/>
        <w:numPr>
          <w:ilvl w:val="0"/>
          <w:numId w:val="3"/>
        </w:numPr>
        <w:spacing w:after="60" w:line="264"/>
      </w:pPr>
      <w:r>
        <w:rPr>
          <w:sz w:val="21"/>
          <w:szCs w:val="21"/>
        </w:rPr>
        <w:t xml:space="preserve">T1518.001 – Security Software Discovery (11 tests). The reconnaissance step immediately preceding priority 1; catching it buys time before defenses are disabled.</w:t>
      </w:r>
    </w:p>
    <w:p>
      <w:pPr>
        <w:pStyle w:val="ListParagraph"/>
        <w:numPr>
          <w:ilvl w:val="0"/>
          <w:numId w:val="3"/>
        </w:numPr>
        <w:spacing w:after="60" w:line="264"/>
      </w:pPr>
      <w:r>
        <w:rPr>
          <w:sz w:val="21"/>
          <w:szCs w:val="21"/>
        </w:rPr>
        <w:t xml:space="preserve">T1087.002 + T1135 + T1018 – discovery burst. Ghost runs these in rapid succession; run as a timed sequence and check whether correlation logic fires on the clustering, not just individual events.</w:t>
      </w:r>
    </w:p>
    <w:p>
      <w:pPr>
        <w:pStyle w:val="ListParagraph"/>
        <w:numPr>
          <w:ilvl w:val="0"/>
          <w:numId w:val="3"/>
        </w:numPr>
        <w:spacing w:after="60" w:line="264"/>
      </w:pPr>
      <w:r>
        <w:rPr>
          <w:sz w:val="21"/>
          <w:szCs w:val="21"/>
        </w:rPr>
        <w:t xml:space="preserve">Custom atomic: wevtutil cl event log clearing (T1070.001).</w:t>
      </w:r>
    </w:p>
    <w:p>
      <w:pPr>
        <w:pStyle w:val="ListParagraph"/>
        <w:numPr>
          <w:ilvl w:val="0"/>
          <w:numId w:val="3"/>
        </w:numPr>
        <w:spacing w:after="60" w:line="264"/>
      </w:pPr>
      <w:r>
        <w:rPr>
          <w:sz w:val="21"/>
          <w:szCs w:val="21"/>
        </w:rPr>
        <w:t xml:space="preserve">T1105 + T1059.001 + T1059.003. Broad, generically useful, lower actor-specificity.</w:t>
      </w:r>
    </w:p>
    <w:p>
      <w:pPr>
        <w:pStyle w:val="ListParagraph"/>
        <w:numPr>
          <w:ilvl w:val="0"/>
          <w:numId w:val="3"/>
        </w:numPr>
        <w:spacing w:after="60" w:line="264"/>
      </w:pPr>
      <w:r>
        <w:rPr>
          <w:sz w:val="21"/>
          <w:szCs w:val="21"/>
        </w:rPr>
        <w:t xml:space="preserve">T1003 – Credential dumping. Sub-techniques T1003.001–.008 exist separately for deeper Mimikatz/LSASS coverage.</w:t>
      </w:r>
    </w:p>
    <w:p>
      <w:pPr>
        <w:pStyle w:val="ListParagraph"/>
        <w:numPr>
          <w:ilvl w:val="0"/>
          <w:numId w:val="3"/>
        </w:numPr>
        <w:spacing w:after="60" w:line="264"/>
      </w:pPr>
      <w:r>
        <w:rPr>
          <w:sz w:val="21"/>
          <w:szCs w:val="21"/>
        </w:rPr>
        <w:t xml:space="preserve">T1486 – Encryption. Isolated VM only; primarily validates detection before impact, which by then is late.</w:t>
      </w:r>
    </w:p>
    <w:p>
      <w:pPr>
        <w:pStyle w:val="ListParagraph"/>
        <w:numPr>
          <w:ilvl w:val="0"/>
          <w:numId w:val="3"/>
        </w:numPr>
        <w:spacing w:after="60" w:line="264"/>
      </w:pPr>
      <w:r>
        <w:rPr>
          <w:sz w:val="21"/>
          <w:szCs w:val="21"/>
        </w:rPr>
        <w:t xml:space="preserve">T1567.002 (rclone to Mega) and T1041 (C2 exfiltration) – lower priority given exfil is shallow and largely bluff, but cheap to run.</w:t>
      </w:r>
    </w:p>
    <w:p>
      <w:pPr>
        <w:spacing w:after="120" w:line="276"/>
      </w:pPr>
      <w:r>
        <w:rPr>
          <w:i/>
          <w:iCs/>
          <w:color w:val="595959"/>
          <w:sz w:val="19"/>
          <w:szCs w:val="19"/>
        </w:rPr>
        <w:t xml:space="preserve">Skip: T1573 (encrypted email is out of endpoint scope); T1098/T1136.001/T1136.002 (medium confidence, “sporadic” behaviour – run only if spare cycles allow).</w:t>
      </w:r>
    </w:p>
    <w:p>
      <w:r>
        <w:br w:type="page"/>
      </w:r>
    </w:p>
    <w:p>
      <w:pPr>
        <w:pStyle w:val="Heading1"/>
        <w:spacing w:after="140" w:before="340"/>
      </w:pPr>
      <w:r>
        <w:rPr>
          <w:b/>
          <w:bCs/>
          <w:color w:val="1F3864"/>
          <w:sz w:val="30"/>
          <w:szCs w:val="30"/>
        </w:rPr>
        <w:t xml:space="preserve">5.  Suggested Detections / Hunt Leads</w:t>
      </w:r>
    </w:p>
    <w:p>
      <w:pPr>
        <w:pStyle w:val="Heading2"/>
        <w:spacing w:after="90" w:before="220"/>
      </w:pPr>
      <w:r>
        <w:rPr>
          <w:b/>
          <w:bCs/>
          <w:color w:val="2E74B5"/>
          <w:sz w:val="24"/>
          <w:szCs w:val="24"/>
        </w:rPr>
        <w:t xml:space="preserve">Highest Signal</w:t>
      </w:r>
    </w:p>
    <w:p>
      <w:pPr>
        <w:pStyle w:val="ListParagraph"/>
        <w:numPr>
          <w:ilvl w:val="0"/>
          <w:numId w:val="2"/>
        </w:numPr>
        <w:spacing w:after="60" w:line="264"/>
      </w:pPr>
      <w:r>
        <w:rPr>
          <w:sz w:val="21"/>
          <w:szCs w:val="21"/>
        </w:rPr>
        <w:t xml:space="preserve">Alert on Set-MpPreference with any of -DisableRealtimeMonitoring, -DisableBehaviorMonitoring, -DisableIOAVProtection, -DisableScriptScanning, -MAPSReporting Disabled, -SubmitSamplesConsent NeverSend. Multiple flags in one command line should be a high-severity alert, not informational.</w:t>
      </w:r>
    </w:p>
    <w:p>
      <w:pPr>
        <w:pStyle w:val="ListParagraph"/>
        <w:numPr>
          <w:ilvl w:val="0"/>
          <w:numId w:val="2"/>
        </w:numPr>
        <w:spacing w:after="60" w:line="264"/>
      </w:pPr>
      <w:r>
        <w:rPr>
          <w:sz w:val="21"/>
          <w:szCs w:val="21"/>
        </w:rPr>
        <w:t xml:space="preserve">String-match on the constant encoded-command prefix (decodes to the Cobalt Strike memory-stream loader stub).</w:t>
      </w:r>
    </w:p>
    <w:p>
      <w:pPr>
        <w:pStyle w:val="ListParagraph"/>
        <w:numPr>
          <w:ilvl w:val="0"/>
          <w:numId w:val="2"/>
        </w:numPr>
        <w:spacing w:after="60" w:line="264"/>
      </w:pPr>
      <w:r>
        <w:rPr>
          <w:sz w:val="21"/>
          <w:szCs w:val="21"/>
        </w:rPr>
        <w:t xml:space="preserve">Alert on powershell invoked with -nop -w hidden -encodedcommand in combination — individually noisy, jointly rare.</w:t>
      </w:r>
    </w:p>
    <w:p>
      <w:pPr>
        <w:pStyle w:val="ListParagraph"/>
        <w:numPr>
          <w:ilvl w:val="0"/>
          <w:numId w:val="2"/>
        </w:numPr>
        <w:spacing w:after="60" w:line="264"/>
      </w:pPr>
      <w:r>
        <w:rPr>
          <w:sz w:val="21"/>
          <w:szCs w:val="21"/>
        </w:rPr>
        <w:t xml:space="preserve">WMIC spawning PowerShell on remote hosts (wmic /node: + process call create).</w:t>
      </w:r>
    </w:p>
    <w:p>
      <w:pPr>
        <w:pStyle w:val="Heading2"/>
        <w:spacing w:after="90" w:before="220"/>
      </w:pPr>
      <w:r>
        <w:rPr>
          <w:b/>
          <w:bCs/>
          <w:color w:val="2E74B5"/>
          <w:sz w:val="24"/>
          <w:szCs w:val="24"/>
        </w:rPr>
        <w:t xml:space="preserve">Tool Presence (Any Hit Warrants Investigation)</w:t>
      </w:r>
    </w:p>
    <w:p>
      <w:pPr>
        <w:pStyle w:val="ListParagraph"/>
        <w:numPr>
          <w:ilvl w:val="0"/>
          <w:numId w:val="2"/>
        </w:numPr>
        <w:spacing w:after="60" w:line="264"/>
      </w:pPr>
      <w:r>
        <w:rPr>
          <w:sz w:val="21"/>
          <w:szCs w:val="21"/>
        </w:rPr>
        <w:t xml:space="preserve">Filenames: SharpShares.exe, SharpZeroLogon.exe, SharpGPPPass.exe, SpnDump.exe, NBT.exe, BadPotato.exe, God.exe, Cring.exe, Ghost.exe, ElysiumO.exe, Locker.exe.</w:t>
      </w:r>
    </w:p>
    <w:p>
      <w:pPr>
        <w:pStyle w:val="ListParagraph"/>
        <w:numPr>
          <w:ilvl w:val="0"/>
          <w:numId w:val="2"/>
        </w:numPr>
        <w:spacing w:after="60" w:line="264"/>
      </w:pPr>
      <w:r>
        <w:rPr>
          <w:sz w:val="21"/>
          <w:szCs w:val="21"/>
        </w:rPr>
        <w:t xml:space="preserve">IOX artifacts masquerading as text/log files: iex.txt, pro.txt, sp.txt, main.txt, isx.txt, sock.txt, x86.log — hunt on PE magic bytes in files with .txt/.log extensions generally.</w:t>
      </w:r>
    </w:p>
    <w:p>
      <w:pPr>
        <w:pStyle w:val="ListParagraph"/>
        <w:numPr>
          <w:ilvl w:val="0"/>
          <w:numId w:val="2"/>
        </w:numPr>
        <w:spacing w:after="60" w:line="264"/>
      </w:pPr>
      <w:r>
        <w:rPr>
          <w:sz w:val="21"/>
          <w:szCs w:val="21"/>
        </w:rPr>
        <w:t xml:space="preserve">HFS running on a server with no business hosting files.</w:t>
      </w:r>
    </w:p>
    <w:p>
      <w:pPr>
        <w:pStyle w:val="Heading2"/>
        <w:spacing w:after="90" w:before="220"/>
      </w:pPr>
      <w:r>
        <w:rPr>
          <w:b/>
          <w:bCs/>
          <w:color w:val="2E74B5"/>
          <w:sz w:val="24"/>
          <w:szCs w:val="24"/>
        </w:rPr>
        <w:t xml:space="preserve">Network</w:t>
      </w:r>
    </w:p>
    <w:p>
      <w:pPr>
        <w:pStyle w:val="ListParagraph"/>
        <w:numPr>
          <w:ilvl w:val="0"/>
          <w:numId w:val="2"/>
        </w:numPr>
        <w:spacing w:after="60" w:line="264"/>
      </w:pPr>
      <w:r>
        <w:rPr>
          <w:sz w:val="21"/>
          <w:szCs w:val="21"/>
        </w:rPr>
        <w:t xml:space="preserve">Outbound HTTP to a bare IP where the URI path resembles a hostname (e.g. /Google.com) — a strong, low-false-positive Beacon-staging signature.</w:t>
      </w:r>
    </w:p>
    <w:p>
      <w:pPr>
        <w:pStyle w:val="ListParagraph"/>
        <w:numPr>
          <w:ilvl w:val="0"/>
          <w:numId w:val="2"/>
        </w:numPr>
        <w:spacing w:after="60" w:line="264"/>
      </w:pPr>
      <w:r>
        <w:rPr>
          <w:sz w:val="21"/>
          <w:szCs w:val="21"/>
        </w:rPr>
        <w:t xml:space="preserve">Outbound connections to Mega.nz from servers.</w:t>
      </w:r>
    </w:p>
    <w:p>
      <w:pPr>
        <w:pStyle w:val="ListParagraph"/>
        <w:numPr>
          <w:ilvl w:val="0"/>
          <w:numId w:val="2"/>
        </w:numPr>
        <w:spacing w:after="60" w:line="264"/>
      </w:pPr>
      <w:r>
        <w:rPr>
          <w:sz w:val="21"/>
          <w:szCs w:val="21"/>
        </w:rPr>
        <w:t xml:space="preserve">Internal SMB scanning consistent with Ladon's MS17-010 module.</w:t>
      </w:r>
    </w:p>
    <w:p>
      <w:pPr>
        <w:pStyle w:val="Heading2"/>
        <w:spacing w:after="90" w:before="220"/>
      </w:pPr>
      <w:r>
        <w:rPr>
          <w:b/>
          <w:bCs/>
          <w:color w:val="2E74B5"/>
          <w:sz w:val="24"/>
          <w:szCs w:val="24"/>
        </w:rPr>
        <w:t xml:space="preserve">Recovery / Impact Stage (Late, but Catchable)</w:t>
      </w:r>
    </w:p>
    <w:p>
      <w:pPr>
        <w:pStyle w:val="ListParagraph"/>
        <w:numPr>
          <w:ilvl w:val="0"/>
          <w:numId w:val="2"/>
        </w:numPr>
        <w:spacing w:after="60" w:line="264"/>
      </w:pPr>
      <w:r>
        <w:rPr>
          <w:sz w:val="21"/>
          <w:szCs w:val="21"/>
        </w:rPr>
        <w:t xml:space="preserve">vssadmin delete shadows, wmic shadowcopy delete, wbadmin delete catalog, VSS service stop or permission modification.</w:t>
      </w:r>
    </w:p>
    <w:p>
      <w:pPr>
        <w:pStyle w:val="ListParagraph"/>
        <w:numPr>
          <w:ilvl w:val="0"/>
          <w:numId w:val="2"/>
        </w:numPr>
        <w:spacing w:after="60" w:line="264"/>
      </w:pPr>
      <w:r>
        <w:rPr>
          <w:sz w:val="21"/>
          <w:szCs w:val="21"/>
        </w:rPr>
        <w:t xml:space="preserve">wevtutil cl / Clear-EventLog — especially Security or System logs on a server.</w:t>
      </w:r>
    </w:p>
    <w:p>
      <w:r>
        <w:br w:type="page"/>
      </w:r>
    </w:p>
    <w:p>
      <w:pPr>
        <w:pStyle w:val="Heading1"/>
        <w:spacing w:after="140" w:before="340"/>
      </w:pPr>
      <w:r>
        <w:rPr>
          <w:b/>
          <w:bCs/>
          <w:color w:val="1F3864"/>
          <w:sz w:val="30"/>
          <w:szCs w:val="30"/>
        </w:rPr>
        <w:t xml:space="preserve">6.  Posture Checks Driven by This Advisory</w:t>
      </w:r>
    </w:p>
    <w:p>
      <w:pPr>
        <w:pStyle w:val="ListParagraph"/>
        <w:numPr>
          <w:ilvl w:val="0"/>
          <w:numId w:val="3"/>
        </w:numPr>
        <w:spacing w:after="60" w:line="264"/>
      </w:pPr>
      <w:r>
        <w:rPr>
          <w:sz w:val="21"/>
          <w:szCs w:val="21"/>
        </w:rPr>
        <w:t xml:space="preserve">Confirm patch status for all seven initial-access CVEs. CVE-2019-0604 (SharePoint) is missing from the advisory's own key-takeaways box — verify it explicitly.</w:t>
      </w:r>
    </w:p>
    <w:p>
      <w:pPr>
        <w:pStyle w:val="ListParagraph"/>
        <w:numPr>
          <w:ilvl w:val="0"/>
          <w:numId w:val="3"/>
        </w:numPr>
        <w:spacing w:after="60" w:line="264"/>
      </w:pPr>
      <w:r>
        <w:rPr>
          <w:sz w:val="21"/>
          <w:szCs w:val="21"/>
        </w:rPr>
        <w:t xml:space="preserve">Confirm ZeroLogon (CVE-2020-1472) patching on all domain controllers.</w:t>
      </w:r>
    </w:p>
    <w:p>
      <w:pPr>
        <w:pStyle w:val="ListParagraph"/>
        <w:numPr>
          <w:ilvl w:val="0"/>
          <w:numId w:val="3"/>
        </w:numPr>
        <w:spacing w:after="60" w:line="264"/>
      </w:pPr>
      <w:r>
        <w:rPr>
          <w:sz w:val="21"/>
          <w:szCs w:val="21"/>
        </w:rPr>
        <w:t xml:space="preserve">Audit SYSVOL for GPP cpassword XML remnants (CVE-2014-1812).</w:t>
      </w:r>
    </w:p>
    <w:p>
      <w:pPr>
        <w:pStyle w:val="ListParagraph"/>
        <w:numPr>
          <w:ilvl w:val="0"/>
          <w:numId w:val="3"/>
        </w:numPr>
        <w:spacing w:after="60" w:line="264"/>
      </w:pPr>
      <w:r>
        <w:rPr>
          <w:sz w:val="21"/>
          <w:szCs w:val="21"/>
        </w:rPr>
        <w:t xml:space="preserve">Verify network segmentation actually blocks lateral movement — per FBI observation, failed lateral movement causes this actor to abandon the target entirely. This is the highest-ROI mitigation against Ghost specifically.</w:t>
      </w:r>
    </w:p>
    <w:p>
      <w:pPr>
        <w:pStyle w:val="ListParagraph"/>
        <w:numPr>
          <w:ilvl w:val="0"/>
          <w:numId w:val="3"/>
        </w:numPr>
        <w:spacing w:after="60" w:line="264"/>
      </w:pPr>
      <w:r>
        <w:rPr>
          <w:sz w:val="21"/>
          <w:szCs w:val="21"/>
        </w:rPr>
        <w:t xml:space="preserve">Confirm offline/segmented backups. The advisory notes victims with unaffected backups generally restored without contacting the actors at all.</w:t>
      </w:r>
    </w:p>
    <w:p>
      <w:pPr>
        <w:pStyle w:val="ListParagraph"/>
        <w:numPr>
          <w:ilvl w:val="0"/>
          <w:numId w:val="3"/>
        </w:numPr>
        <w:spacing w:after="60" w:line="264"/>
      </w:pPr>
      <w:r>
        <w:rPr>
          <w:sz w:val="21"/>
          <w:szCs w:val="21"/>
        </w:rPr>
        <w:t xml:space="preserve">Disable unused RDP/FTP/SMB exposure. Note: the advisory text says “RDP 3398” — this is a typo for port 3389.</w:t>
      </w:r>
    </w:p>
    <w:p>
      <w:pPr>
        <w:pBdr>
          <w:top w:val="single" w:color="D9E2F3" w:sz="6" w:space="6"/>
        </w:pBdr>
        <w:spacing w:before="300"/>
      </w:pPr>
      <w:r>
        <w:rPr>
          <w:i/>
          <w:iCs/>
          <w:color w:val="595959"/>
          <w:sz w:val="17"/>
          <w:szCs w:val="17"/>
        </w:rPr>
        <w:t xml:space="preserve">Source: CISA/FBI/MS-ISAC AA25-050A, extracted 29 July 2026. Advisory version history: initial version 19 Feb 2025, no subsequent revisions listed as of extraction. ATT&amp;CK mappings target framework v16.1. TLP:CLEAR.</w:t>
      </w:r>
    </w:p>
    <w:sectPr>
      <w:headerReference w:type="default" r:id="rId7"/>
      <w:footerReference w:type="default" r:id="rId8"/>
      <w:pgSz w:w="12240" w:h="15840"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Threat Intelligence Report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5F06"/>
        <w:sz w:val="16"/>
        <w:szCs w:val="16"/>
      </w:rPr>
      <w:t xml:space="preserve">TLP:CLEAR – Ghost (Cring) Ransomware TI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Report – Ghost (Cring) Ransomware</dc:title>
  <dc:creator>SOC Threat Intelligence</dc:creator>
  <cp:lastModifiedBy>Un-named</cp:lastModifiedBy>
  <cp:revision>1</cp:revision>
  <dcterms:created xsi:type="dcterms:W3CDTF">2026-07-29T15:49:18.853Z</dcterms:created>
  <dcterms:modified xsi:type="dcterms:W3CDTF">2026-07-29T15:49:18.896Z</dcterms:modified>
</cp:coreProperties>
</file>

<file path=docProps/custom.xml><?xml version="1.0" encoding="utf-8"?>
<Properties xmlns="http://schemas.openxmlformats.org/officeDocument/2006/custom-properties" xmlns:vt="http://schemas.openxmlformats.org/officeDocument/2006/docPropsVTypes"/>
</file>