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권한 분리 기반 교통–3차원 공동 시뮬레이션 설계 패턴과 궤도계 차량으로의 적용</w:t>
      </w:r>
    </w:p>
    <w:p>
      <w:pPr>
        <w:jc w:val="center"/>
      </w:pPr>
      <w:r>
        <w:rPr>
          <w:sz w:val="22"/>
        </w:rPr>
        <w:t>A State-Authority Partitioning Pattern for Traffic–3D Co-Simulation and Its Application to Rail-Guided Vehicles</w:t>
      </w:r>
    </w:p>
    <w:p>
      <w:pPr>
        <w:jc w:val="center"/>
      </w:pPr>
      <w:r>
        <w:t>김백현¹  (¹한국철도기술연구원 연구원)</w:t>
      </w:r>
    </w:p>
    <w:p>
      <w:r>
        <w:rPr>
          <w:i/>
          <w:color w:val="C00000"/>
          <w:sz w:val="18"/>
        </w:rPr>
        <w:t>[논문 B 초안 v2 — 투고 대상: 한국시뮬레이션학회 논문지(계간, 최근 호 논문 8~14쪽)]</w:t>
      </w:r>
    </w:p>
    <w:p>
      <w:r>
        <w:rPr>
          <w:i/>
          <w:color w:val="C00000"/>
          <w:sz w:val="18"/>
        </w:rPr>
        <w:t>v1 대비 변경: 서론을 시뮬레이션 공학 관점으로 재작성 / 권한 분리를 일반 설계 패턴으로 승격 / 60 Hz 시간해상도 검증을 독립된 모델 검증(V&amp;V) 절로 분리 / Ⅵ장 실험설계 구체화(E7).</w:t>
      </w:r>
    </w:p>
    <w:p>
      <w:r>
        <w:rPr>
          <w:i/>
          <w:color w:val="C00000"/>
          <w:sz w:val="18"/>
        </w:rPr>
        <w:t>※ 이 학술지 최근 2개 호 17편 중 교통·자율주행 논문은 0편이며 DEVS·국방 M&amp;S·제조 시뮬레이션이 주류입니다. 따라서 본 논문은 '트램 논문'이 아니라 '공동 시뮬레이션 방법론 논문'으로 읽히도록 작성되었습니다. 심사 대응 시에도 이 프레이밍을 유지하십시오.</w:t>
      </w:r>
    </w:p>
    <w:p>
      <w:pPr>
        <w:spacing w:before="260"/>
      </w:pPr>
      <w:r>
        <w:rPr>
          <w:b/>
          <w:sz w:val="25"/>
        </w:rPr>
        <w:t>초록</w:t>
      </w:r>
    </w:p>
    <w:p>
      <w:pPr>
        <w:ind w:firstLine="227"/>
      </w:pPr>
      <w:r>
        <w:t>이종 시뮬레이터를 결합하는 공동 시뮬레이션에서 가장 먼저 결정해야 할 것은 어떤 모델이 어떤 상태변수의 권한(authority)을 갖는가이다. 교통류 시뮬레이터와 3차원 주행 시뮬레이터를 결합한 기존 환경은 대체로 교통 시뮬레이터가 모든 차량의 상태를 소유하고 3차원 측은 이를 시각화하는 단방향 구조를 취해 왔으며, 그 결과 평가 대상 차량(에고 차량)을 외부 제어기가 구동하려면 상태 소유권이 충돌한다. 본 연구에서는 상태변수를 차량 단위가 아니라 역할 단위로 분할하는 권한 분리(state-authority partitioning) 패턴을 제시한다. 교통상태의 권한은 미시교통 모델이, 에고 차량의 위치 권한은 외부 주행모델이 보유하며, 교통 모델은 외부 차량의 월드좌표를 링크·차로·종방향 위치로 역매핑하여 주변 차량이 이를 선행차량으로 인식하도록만 처리한다. 이 구조는 키보드·규칙기반·학습기반 제어기를 동일한 교통상태에 동일한 방식으로 접속시키며, 교통 모델의 내부 로직을 수정하지 않는다. 또한 두 시뮬레이터의 시간 진행 정책을 통일하기 위해 교통 모델을 렌더링 주기인 60 Hz로 직접 스텝하는 방식을 채택하고, 시간해상도 변경이 모델 출력을 훼손하지 않음을 포화 방출 차두시간 불변성으로 검증하였다. 마지막으로 조향 자유도가 없는 궤도계 차량에 본 패턴을 적용할 때 발생하는 경로 이탈 문제를 다루기 위해, 경로는 궤도에 구속하고 종방향 속도만 외부 모델이 지령하는 레일 거버너를 제안하였다. 실규모 도시 노선을 대상으로 한 적용 사례에서 궤도 이탈은 9.5 m에서 0.4 m로 감소하였다.</w:t>
      </w:r>
    </w:p>
    <w:p>
      <w:r>
        <w:rPr>
          <w:i/>
          <w:color w:val="C00000"/>
          <w:sz w:val="18"/>
        </w:rPr>
        <w:t>※ 마지막 문장 뒤에 Ⅵ장(E7) 결과 한 문장을 추가하십시오. 예: "신호 운영전략 3수준에 대한 폐루프 실험에서 신호 준수율 100%, 정위치 정차 오차 ○○ m를 확인하였다."</w:t>
      </w:r>
    </w:p>
    <w:p>
      <w:pPr>
        <w:ind w:firstLine="227"/>
      </w:pPr>
      <w:r>
        <w:t>주제어: 공동 시뮬레이션, 모델 결합, 상태 권한 분리, 시간 동기화, 모델 검증, 자율주행 트램</w:t>
      </w:r>
    </w:p>
    <w:p>
      <w:pPr>
        <w:spacing w:before="260"/>
      </w:pPr>
      <w:r>
        <w:rPr>
          <w:b/>
          <w:sz w:val="25"/>
        </w:rPr>
        <w:t>Ⅰ. 서론</w:t>
      </w:r>
    </w:p>
    <w:p>
      <w:pPr>
        <w:spacing w:before="160"/>
      </w:pPr>
      <w:r>
        <w:rPr>
          <w:b/>
          <w:sz w:val="21"/>
        </w:rPr>
        <w:t>1. 연구 배경</w:t>
      </w:r>
    </w:p>
    <w:p>
      <w:pPr>
        <w:ind w:firstLine="227"/>
      </w:pPr>
      <w:r>
        <w:t>서로 다른 목적으로 개발된 시뮬레이션 모델을 결합해 단일 실험 환경을 구성하는 일은 시뮬레이션 공학의 오래된 문제이다. 결합의 성패는 대체로 세 가지 설계 결정에 달려 있다. 첫째는 각 모델이 어떤 상태변수의 권한을 갖는지(state ownership), 둘째는 서로 다른 시간해상도를 어떻게 진행시키는지(time advance), 셋째는 결합 이후에도 각 모델의 검증된 거동이 보존되는지(behaviour preservation)이다. 이 세 가지는 연합 시뮬레이션과 다중해상도 모델링에서 반복적으로 제기되어 온 쟁점이며, 결합 대상이 교통류 모델과 3차원 주행 모델일 때에도 그대로 나타난다.</w:t>
      </w:r>
    </w:p>
    <w:p>
      <w:pPr>
        <w:ind w:firstLine="227"/>
      </w:pPr>
      <w:r>
        <w:t>미시교통 시뮬레이터는 다수 차량의 거시적 상호작용을 초 단위 이하 해상도로 재현하지만 센서 관측을 생성하지 못하고, 3차원 주행 시뮬레이터는 카메라·LiDAR 관측을 생성하지만 수천 대 규모의 교통류를 검증된 거동으로 재현하지 못한다. 이 상보성 때문에 두 계열을 결합한 환경이 다수 제안되었으며, SUMO와 CARLA를 연결한 브리지가 대표적이다(Lopez et al., 2018; Dosovitskiy et al., 2017; Li et al., 2021).</w:t>
      </w:r>
    </w:p>
    <w:p>
      <w:pPr>
        <w:spacing w:before="160"/>
      </w:pPr>
      <w:r>
        <w:rPr>
          <w:b/>
          <w:sz w:val="21"/>
        </w:rPr>
        <w:t>2. 기존 결합 방식의 한계</w:t>
      </w:r>
    </w:p>
    <w:p>
      <w:pPr>
        <w:ind w:firstLine="227"/>
      </w:pPr>
      <w:r>
        <w:t>기존 브리지는 대체로 교통 모델이 모든 차량의 상태를 소유하고 3차원 측은 그 상태를 받아 렌더링하는 단방향 구조를 취한다. 이 구조는 교통류 재현이 목적일 때는 충분하지만, 평가 대상인 에고 차량을 외부 제어기가 구동하려는 순간 세 가지 문제가 발생한다.</w:t>
      </w:r>
    </w:p>
    <w:p>
      <w:pPr>
        <w:ind w:firstLine="227"/>
      </w:pPr>
      <w:r>
        <w:t>(1) 상태 소유권 충돌 — 외부 제어기가 산출한 에고 차량의 위치를 교통 모델이 매 스텝 덮어쓰므로, 제어기의 지령이 실제로 반영되지 않거나 두 값이 진동한다.</w:t>
      </w:r>
    </w:p>
    <w:p>
      <w:pPr>
        <w:ind w:firstLine="227"/>
      </w:pPr>
      <w:r>
        <w:t>(2) 결합 지점의 침습성 — 이를 우회하기 위해 교통 모델 내부에 '외부 제어 차량' 예외 분기를 삽입하면, 이미 검증된 추종·차로변경 로직이 변경되어 검증 결과의 유효성이 약화된다.</w:t>
      </w:r>
    </w:p>
    <w:p>
      <w:pPr>
        <w:ind w:firstLine="227"/>
      </w:pPr>
      <w:r>
        <w:t>(3) 제어기 교체 비용 — 키보드 조작, 규칙 기반 제어, 학습 기반 제어를 바꿔 끼울 때마다 결합 코드가 달라져 동일 조건 비교가 어렵다.</w:t>
      </w:r>
    </w:p>
    <w:p>
      <w:pPr>
        <w:ind w:firstLine="227"/>
      </w:pPr>
      <w:r>
        <w:t>또한 궤도를 주행하는 대중교통 차량은 조향 자유도가 없다는 점에서 승용차와 근본적으로 다르나, 기존 브리지는 이를 별도 차량 부류로 다루지 않는다.</w:t>
      </w:r>
    </w:p>
    <w:p>
      <w:pPr>
        <w:spacing w:before="160"/>
      </w:pPr>
      <w:r>
        <w:rPr>
          <w:b/>
          <w:sz w:val="21"/>
        </w:rPr>
        <w:t>3. 연구 목적 및 기여</w:t>
      </w:r>
    </w:p>
    <w:p>
      <w:pPr>
        <w:ind w:firstLine="227"/>
      </w:pPr>
      <w:r>
        <w:t>본 연구의 기여는 세 가지이다. 첫째, 상태변수를 차량 단위가 아니라 역할 단위로 분할하는 권한 분리 패턴을 제시하고 적용 조건과 한계를 정리한다. 둘째, 서로 다른 시간해상도를 통일하는 방식을 제시하고 그 변경이 모델 출력을 훼손하지 않음을 검증한다. 셋째, 궤도계 차량에 본 패턴을 적용할 때 필요한 레일 거버너 구조를 제안하고 실규모 노선에서 그 효과를 정량화한다.</w:t>
      </w:r>
    </w:p>
    <w:p>
      <w:r>
        <w:rPr>
          <w:i/>
          <w:color w:val="C00000"/>
          <w:sz w:val="18"/>
        </w:rPr>
        <w:t>논문 A(김백현, 2026 — 한국ITS학회 논문지 투고 중)를 '동일 엔진으로 수행한 신호제어 정량분석'으로 인용해 두 논문의 역할 분담을 명확히 하십시오. 게재 확정 후 서지를 확정합니다.</w:t>
      </w:r>
    </w:p>
    <w:p>
      <w:pPr>
        <w:spacing w:before="260"/>
      </w:pPr>
      <w:r>
        <w:rPr>
          <w:b/>
          <w:sz w:val="25"/>
        </w:rPr>
        <w:t>Ⅱ. 권한 분리 설계 패턴</w:t>
      </w:r>
    </w:p>
    <w:p>
      <w:pPr>
        <w:spacing w:before="160"/>
      </w:pPr>
      <w:r>
        <w:rPr>
          <w:b/>
          <w:sz w:val="21"/>
        </w:rPr>
        <w:t>1. 패턴의 정의</w:t>
      </w:r>
    </w:p>
    <w:p>
      <w:pPr>
        <w:ind w:firstLine="227"/>
      </w:pPr>
      <w:r>
        <w:t>본 패턴은 결합되는 두 모델 사이의 상태변수를 다음 세 부류로 나눈다. (a) 교통 모델이 배타적 권한을 갖는 상태 — 배경 교통류 차량의 위치·속도·차로, 신호 현시. (b) 외부 주행모델이 배타적 권한을 갖는 상태 — 에고 차량의 위치·자세·속도. (c) 어느 쪽도 권한을 갖지 않는 파생 상태 — 에고 차량이 점유한 링크·차로·종방향 위치. (c)는 매 스텝 (b)로부터 교통 모델이 역매핑으로 산출하며, 산출된 값은 오직 주변 차량의 선행차량 판정에만 사용된다.</w:t>
      </w:r>
    </w:p>
    <w:p>
      <w:pPr>
        <w:ind w:firstLine="227"/>
      </w:pPr>
      <w:r>
        <w:t>핵심은 교통 모델이 에고 차량의 위치를 결코 갱신하지 않는다는 제약이다. 이 제약 덕분에 교통 모델의 추종·차로변경·간격수락 로직은 원형 그대로 유지되며, 에고 차량은 교통 모델 입장에서 '위치가 외부에서 주어지는 이동 장애물'로만 취급된다.</w:t>
      </w:r>
    </w:p>
    <w:p>
      <w:pPr>
        <w:spacing w:before="160"/>
      </w:pPr>
      <w:r>
        <w:rPr>
          <w:b/>
          <w:sz w:val="21"/>
        </w:rPr>
        <w:t>2. 인터페이스</w:t>
      </w:r>
    </w:p>
    <w:p>
      <w:pPr>
        <w:ind w:firstLine="227"/>
      </w:pPr>
      <w:r>
        <w:t>외부 주행모델은 매 스텝 (x, y, heading, v)만 제공하면 되고, 교통 모델은 그 대가로 주변 차량 상태와 신호 현시를 제공한다. 이 계약이 최소이기 때문에 키보드 조작, 규칙 기반 제어, 학습 기반 제어가 동일한 방식으로 접속한다.</w:t>
      </w:r>
    </w:p>
    <w:p>
      <w:pPr>
        <w:jc w:val="center"/>
      </w:pPr>
      <w:r>
        <w:rPr>
          <w:b/>
          <w:sz w:val="18"/>
        </w:rPr>
        <w:t>Table 1. 상태 권한 분할 (작성 필요)</w:t>
      </w:r>
    </w:p>
    <w:p>
      <w:r>
        <w:rPr>
          <w:i/>
          <w:color w:val="C00000"/>
          <w:sz w:val="18"/>
        </w:rPr>
        <w:t>표 1을 신규 작성하십시오: 열 = 상태변수 / 권한 보유 모델 / 갱신 주기 / 비고. 행 = 배경 차량 상태, 신호 현시, 에고 위치·자세, 에고 링크·차로 매핑, 렌더링 장면 상태.</w:t>
      </w:r>
    </w:p>
    <w:p>
      <w:pPr>
        <w:jc w:val="center"/>
      </w:pPr>
      <w:r>
        <w:rPr>
          <w:b/>
          <w:sz w:val="18"/>
        </w:rPr>
        <w:t>Figure 1. 권한 분리 기반 공동 시뮬레이션 구조 (작성 필요)</w:t>
      </w:r>
    </w:p>
    <w:p>
      <w:r>
        <w:rPr>
          <w:i/>
          <w:color w:val="C00000"/>
          <w:sz w:val="18"/>
        </w:rPr>
        <w:t>그림 1을 신규 작성하십시오: 두 모델 박스 + 상태변수별 화살표 방향(단방향 명시) + 역매핑 블록.</w:t>
      </w:r>
    </w:p>
    <w:p>
      <w:pPr>
        <w:spacing w:before="160"/>
      </w:pPr>
      <w:r>
        <w:rPr>
          <w:b/>
          <w:sz w:val="21"/>
        </w:rPr>
        <w:t>3. 대안 구조와의 비교</w:t>
      </w:r>
    </w:p>
    <w:p>
      <w:pPr>
        <w:ind w:firstLine="227"/>
      </w:pPr>
      <w:r>
        <w:t>양방향 완전 동기화 방식은 두 모델이 모든 상태를 공유하므로 일관성은 높지만, 매 스텝 상태 병합이 필요하고 충돌 해소 규칙을 별도로 정의해야 한다. 반대로 교통 모델이 전권을 갖는 단방향 방식은 구현이 단순하나 외부 제어기를 수용하지 못한다. 본 패턴은 두 극단 사이에서 '권한은 분할하되 병합은 하지 않는' 지점을 선택한 것이다.</w:t>
      </w:r>
    </w:p>
    <w:p>
      <w:r>
        <w:rPr>
          <w:i/>
          <w:color w:val="C00000"/>
          <w:sz w:val="18"/>
        </w:rPr>
        <w:t>이 절이 시뮬레이션학회 심사자가 가장 주목할 부분입니다. 표로 3방식(단방향 / 양방향 / 권한분리)을 결합 비용·침습성·제어기 교체성·일관성 4축으로 비교해 제시하십시오.</w:t>
      </w:r>
    </w:p>
    <w:p>
      <w:pPr>
        <w:spacing w:before="260"/>
      </w:pPr>
      <w:r>
        <w:rPr>
          <w:b/>
          <w:sz w:val="25"/>
        </w:rPr>
        <w:t>Ⅲ. 시간 진행과 모델 검증</w:t>
      </w:r>
    </w:p>
    <w:p>
      <w:pPr>
        <w:spacing w:before="160"/>
      </w:pPr>
      <w:r>
        <w:rPr>
          <w:b/>
          <w:sz w:val="21"/>
        </w:rPr>
        <w:t>1. 시간해상도 통일</w:t>
      </w:r>
    </w:p>
    <w:p>
      <w:pPr>
        <w:ind w:firstLine="227"/>
      </w:pPr>
      <w:r>
        <w:t>교통 모델의 기준 시간간격은 Δt = 0.1 s이고 3차원 렌더링은 60 Hz(Δt ≈ 0.0167 s)로 진행된다. 두 주기를 별도 스레드로 운용하고 보간하는 대신, 본 연구에서는 교통 모델을 렌더링 주기에 맞추어 직접 스텝하는 방식을 택하였다. 보간 오차와 시각 지연이 발생하지 않는 대신, 교통 모델이 원래 검증된 것보다 6배 작은 시간간격에서 동작하게 되므로 그 타당성을 확인해야 한다.</w:t>
      </w:r>
    </w:p>
    <w:p>
      <w:pPr>
        <w:spacing w:before="160"/>
      </w:pPr>
      <w:r>
        <w:rPr>
          <w:b/>
          <w:sz w:val="21"/>
        </w:rPr>
        <w:t>2. 시간해상도 불변성 검증</w:t>
      </w:r>
    </w:p>
    <w:p>
      <w:pPr>
        <w:ind w:firstLine="227"/>
      </w:pPr>
      <w:r>
        <w:t>검증 지표로는 모델의 거시적 출력 가운데 시간간격에 가장 민감한 포화 방출 차두시간을 선택하였다. 정지 대기행렬의 방출 간격은 추종모형의 가속 응답이 시간간격에 따라 달라지면 즉시 변화하기 때문이다. Δt = 0.1 s에서 1.96 s/대로 산출된 값이 60 Hz 조건에서 1.91 s/대로 나타나 약 2.6%의 차이에 그쳤으며, 이는 국내 신호교차로 포화교통류율의 통상 범위 안에서 동일한 처리능력을 의미한다. 따라서 시간해상도 변경은 모델의 검증된 거동을 훼손하지 않는다고 판단하였다.</w:t>
      </w:r>
    </w:p>
    <w:p>
      <w:r>
        <w:rPr>
          <w:i/>
          <w:color w:val="C00000"/>
          <w:sz w:val="18"/>
        </w:rPr>
        <w:t>v1에서는 이 내용이 아키텍처 절 안의 한 문장이었습니다. 독립 절로 승격하고, 가능하면 Δt를 0.1 / 0.05 / 1/60 / 0.01 s로 바꾼 차두시간 곡선을 그림으로 추가하십시오. 그러면 '2점 비교'가 '수렴성 확인'이 되어 방어력이 크게 올라갑니다.</w:t>
      </w:r>
    </w:p>
    <w:p>
      <w:pPr>
        <w:jc w:val="center"/>
      </w:pPr>
      <w:r>
        <w:rPr>
          <w:b/>
          <w:sz w:val="18"/>
        </w:rPr>
        <w:t>Figure 2. 시간간격에 따른 포화 방출 차두시간 (추가 실험 권장)</w:t>
      </w:r>
    </w:p>
    <w:p>
      <w:pPr>
        <w:spacing w:before="160"/>
      </w:pPr>
      <w:r>
        <w:rPr>
          <w:b/>
          <w:sz w:val="21"/>
        </w:rPr>
        <w:t>3. 재현성</w:t>
      </w:r>
    </w:p>
    <w:p>
      <w:pPr>
        <w:ind w:firstLine="227"/>
      </w:pPr>
      <w:r>
        <w:t>동일 난수시드에 대해 동일 결과가 산출되는지를 시험으로 고정하였다. 공동 시뮬레이션에서는 렌더링 프레임 드롭이 시간 진행에 영향을 주지 않도록 시뮬레이션 시간과 실시간을 분리해야 하며, 본 구현은 프레임 기반이 아닌 시뮬레이션 시간 기반으로 스텝한다.</w:t>
      </w:r>
    </w:p>
    <w:p>
      <w:pPr>
        <w:spacing w:before="260"/>
      </w:pPr>
      <w:r>
        <w:rPr>
          <w:b/>
          <w:sz w:val="25"/>
        </w:rPr>
        <w:t>Ⅳ. 도심 장면의 절차적 생성</w:t>
      </w:r>
    </w:p>
    <w:p>
      <w:pPr>
        <w:ind w:firstLine="227"/>
      </w:pPr>
      <w:r>
        <w:t>결합의 실효성은 두 모델이 같은 공간을 서로 다르게 표현하지 않을 때 확보된다. 본 연구에서는 교통 모델의 시나리오와 3차원 장면이 단일 표준 횡단면 정의를 공유하도록 구성하여, 교통 모델의 차로 중심선과 정지선이 3차원 장면의 노면표시와 일치하도록 하였다. 건물은 OpenStreetMap footprint와 높이정보를 기반으로 약 1,400동을 절차적으로 배치하였고, 정거장 승강장·쉘터·대기 승객과 가로 시설물을 함께 생성하였다.</w:t>
      </w:r>
    </w:p>
    <w:p>
      <w:pPr>
        <w:jc w:val="center"/>
      </w:pPr>
      <w:r>
        <w:rPr>
          <w:b/>
          <w:sz w:val="18"/>
        </w:rPr>
        <w:t>Figure 3. 절차적 장면 생성 파이프라인 (작성 필요)</w:t>
      </w:r>
    </w:p>
    <w:p>
      <w:pPr>
        <w:jc w:val="center"/>
      </w:pPr>
      <w:r>
        <w:rPr>
          <w:b/>
          <w:sz w:val="18"/>
        </w:rPr>
        <w:t>Figure 4. 생성된 도심 장면과 에고 트램 (기존 Figure 6 재사용)</w:t>
      </w:r>
    </w:p>
    <w:p>
      <w:pPr>
        <w:spacing w:before="260"/>
      </w:pPr>
      <w:r>
        <w:rPr>
          <w:b/>
          <w:sz w:val="25"/>
        </w:rPr>
        <w:t>Ⅴ. 궤도계 차량을 위한 레일 거버너</w:t>
      </w:r>
    </w:p>
    <w:p>
      <w:pPr>
        <w:spacing w:before="160"/>
      </w:pPr>
      <w:r>
        <w:rPr>
          <w:b/>
          <w:sz w:val="21"/>
        </w:rPr>
        <w:t>1. 문제 정의</w:t>
      </w:r>
    </w:p>
    <w:p>
      <w:pPr>
        <w:ind w:firstLine="227"/>
      </w:pPr>
      <w:r>
        <w:t>권한 분리 패턴에서 외부 주행모델은 에고 차량의 위치를 자유롭게 지령한다. 조향 자유도를 가진 승용차형 차량에서는 이것이 자연스럽지만, 궤도계 차량에서는 모델이 산출한 궤적이 궤도를 벗어날 수 있다. 실제로 승용차형 제어를 트램에 그대로 적용한 결과 곡선부에서 최대 9.5 m의 궤도 이탈이 발생하였다.</w:t>
      </w:r>
    </w:p>
    <w:p>
      <w:pPr>
        <w:spacing w:before="160"/>
      </w:pPr>
      <w:r>
        <w:rPr>
          <w:b/>
          <w:sz w:val="21"/>
        </w:rPr>
        <w:t>2. 구조</w:t>
      </w:r>
    </w:p>
    <w:p>
      <w:pPr>
        <w:ind w:firstLine="227"/>
      </w:pPr>
      <w:r>
        <w:t>레일 거버너는 권한을 다시 한 번 분할한다. 횡방향 경로는 궤도 기하에 구속되어 외부 모델의 권한 밖에 두고, 종방향 속도만 외부 모델이 지령하도록 한다. 거버너는 그 위에서 정거장 접근 감속, 정위치 정차, 정차시간 유지, 출발 및 적신호 정지를 보장하며, 외부 모델의 속도 지령은 이 안전 제약을 위배하지 않는 범위에서 수용된다.</w:t>
      </w:r>
    </w:p>
    <w:p>
      <w:pPr>
        <w:spacing w:before="160"/>
      </w:pPr>
      <w:r>
        <w:rPr>
          <w:b/>
          <w:sz w:val="21"/>
        </w:rPr>
        <w:t>3. 결과</w:t>
      </w:r>
    </w:p>
    <w:p>
      <w:pPr>
        <w:ind w:firstLine="227"/>
      </w:pPr>
      <w:r>
        <w:t>동일 노선·동일 주행모델 조건에서 궤도 이탈은 9.5 m에서 0.4 m로 감소하였다. 이는 궤도계 차량을 대상으로 하는 공동 시뮬레이션에서 횡방향 권한을 외부 모델에 넘기지 않는 편이 타당함을 보인다.</w:t>
      </w:r>
    </w:p>
    <w:p>
      <w:pPr>
        <w:jc w:val="center"/>
      </w:pPr>
      <w:r>
        <w:rPr>
          <w:b/>
          <w:sz w:val="18"/>
        </w:rPr>
        <w:t>Figure 5. 레일 거버너 적용 전후의 궤도 이탈 (작성 필요)</w:t>
      </w:r>
    </w:p>
    <w:p>
      <w:r>
        <w:rPr>
          <w:i/>
          <w:color w:val="C00000"/>
          <w:sz w:val="18"/>
        </w:rPr>
        <w:t>이탈량 시계열을 곡선부 구간과 함께 표시하면 설득력이 큽니다. 기존 실행 로그로 작성 가능합니다.</w:t>
      </w:r>
    </w:p>
    <w:p>
      <w:pPr>
        <w:spacing w:before="260"/>
      </w:pPr>
      <w:r>
        <w:rPr>
          <w:b/>
          <w:sz w:val="25"/>
        </w:rPr>
        <w:t>Ⅵ. 적용 사례: 신호 운영전략별 자율주행 트램 폐루프 평가  ★ 실험 미실시</w:t>
      </w:r>
    </w:p>
    <w:p>
      <w:pPr>
        <w:ind w:firstLine="227"/>
      </w:pPr>
      <w:r>
        <w:t>본 절은 제시한 환경이 실제로 결합 문제를 푸는지 확인하기 위한 적용 사례이다. 외부 주행모델로 시각·언어·행동(VLA) 모델을 연계하고, 교통 모델의 신호 운영전략을 3수준으로 바꾸어 가며 동일한 교통상태에서 폐루프 주행을 수행한다.</w:t>
      </w:r>
    </w:p>
    <w:p>
      <w:pPr>
        <w:ind w:firstLine="227"/>
      </w:pPr>
      <w:r>
        <w:t>실험 설계는 신호전략 3수준(고정식 / 자유 감응식 / 연동+부분 우선) × 난수시드 3개 = 9런이며, 평가 지표는 아래 여섯 가지이다.</w:t>
      </w:r>
    </w:p>
    <w:tbl>
      <w:tblPr>
        <w:tblStyle w:val="TableGrid"/>
        <w:tblW w:type="auto" w:w="0"/>
        <w:jc w:val="center"/>
        <w:tblLook w:firstColumn="1" w:firstRow="1" w:lastColumn="0" w:lastRow="0" w:noHBand="0" w:noVBand="1" w:val="04A0"/>
      </w:tblPr>
      <w:tblGrid>
        <w:gridCol w:w="3173"/>
        <w:gridCol w:w="3173"/>
        <w:gridCol w:w="3173"/>
      </w:tblGrid>
      <w:tr>
        <w:tc>
          <w:tcPr>
            <w:tcW w:type="dxa" w:w="3173"/>
          </w:tcPr>
          <w:p>
            <w:r>
              <w:rPr>
                <w:b/>
                <w:sz w:val="18"/>
              </w:rPr>
              <w:t>지표</w:t>
            </w:r>
          </w:p>
        </w:tc>
        <w:tc>
          <w:tcPr>
            <w:tcW w:type="dxa" w:w="3173"/>
          </w:tcPr>
          <w:p>
            <w:r>
              <w:rPr>
                <w:b/>
                <w:sz w:val="18"/>
              </w:rPr>
              <w:t>정의</w:t>
            </w:r>
          </w:p>
        </w:tc>
        <w:tc>
          <w:tcPr>
            <w:tcW w:type="dxa" w:w="3173"/>
          </w:tcPr>
          <w:p>
            <w:r>
              <w:rPr>
                <w:b/>
                <w:sz w:val="18"/>
              </w:rPr>
              <w:t>역할</w:t>
            </w:r>
          </w:p>
        </w:tc>
      </w:tr>
      <w:tr>
        <w:tc>
          <w:tcPr>
            <w:tcW w:type="dxa" w:w="3173"/>
          </w:tcPr>
          <w:p>
            <w:r>
              <w:rPr>
                <w:b w:val="0"/>
                <w:sz w:val="18"/>
              </w:rPr>
              <w:t>M1 신호 준수율</w:t>
            </w:r>
          </w:p>
        </w:tc>
        <w:tc>
          <w:tcPr>
            <w:tcW w:type="dxa" w:w="3173"/>
          </w:tcPr>
          <w:p>
            <w:r>
              <w:rPr>
                <w:b w:val="0"/>
                <w:sz w:val="18"/>
              </w:rPr>
              <w:t>적신호에서 정지선 통과 여부</w:t>
            </w:r>
          </w:p>
        </w:tc>
        <w:tc>
          <w:tcPr>
            <w:tcW w:type="dxa" w:w="3173"/>
          </w:tcPr>
          <w:p>
            <w:r>
              <w:rPr>
                <w:b w:val="0"/>
                <w:sz w:val="18"/>
              </w:rPr>
              <w:t>안전성 — 0건이어야 함</w:t>
            </w:r>
          </w:p>
        </w:tc>
      </w:tr>
      <w:tr>
        <w:tc>
          <w:tcPr>
            <w:tcW w:type="dxa" w:w="3173"/>
          </w:tcPr>
          <w:p>
            <w:r>
              <w:rPr>
                <w:b w:val="0"/>
                <w:sz w:val="18"/>
              </w:rPr>
              <w:t>M2 정위치 정차 오차</w:t>
            </w:r>
          </w:p>
        </w:tc>
        <w:tc>
          <w:tcPr>
            <w:tcW w:type="dxa" w:w="3173"/>
          </w:tcPr>
          <w:p>
            <w:r>
              <w:rPr>
                <w:b w:val="0"/>
                <w:sz w:val="18"/>
              </w:rPr>
              <w:t>정차 시점 위치와 정거장 정지위치의 차 (m)</w:t>
            </w:r>
          </w:p>
        </w:tc>
        <w:tc>
          <w:tcPr>
            <w:tcW w:type="dxa" w:w="3173"/>
          </w:tcPr>
          <w:p>
            <w:r>
              <w:rPr>
                <w:b w:val="0"/>
                <w:sz w:val="18"/>
              </w:rPr>
              <w:t>제어 정밀도</w:t>
            </w:r>
          </w:p>
        </w:tc>
      </w:tr>
      <w:tr>
        <w:tc>
          <w:tcPr>
            <w:tcW w:type="dxa" w:w="3173"/>
          </w:tcPr>
          <w:p>
            <w:r>
              <w:rPr>
                <w:b w:val="0"/>
                <w:sz w:val="18"/>
              </w:rPr>
              <w:t>M3 정차시간 오차</w:t>
            </w:r>
          </w:p>
        </w:tc>
        <w:tc>
          <w:tcPr>
            <w:tcW w:type="dxa" w:w="3173"/>
          </w:tcPr>
          <w:p>
            <w:r>
              <w:rPr>
                <w:b w:val="0"/>
                <w:sz w:val="18"/>
              </w:rPr>
              <w:t>실제 dwell − 설정값 (s)</w:t>
            </w:r>
          </w:p>
        </w:tc>
        <w:tc>
          <w:tcPr>
            <w:tcW w:type="dxa" w:w="3173"/>
          </w:tcPr>
          <w:p>
            <w:r>
              <w:rPr>
                <w:b w:val="0"/>
                <w:sz w:val="18"/>
              </w:rPr>
              <w:t>운행계획 준수</w:t>
            </w:r>
          </w:p>
        </w:tc>
      </w:tr>
      <w:tr>
        <w:tc>
          <w:tcPr>
            <w:tcW w:type="dxa" w:w="3173"/>
          </w:tcPr>
          <w:p>
            <w:r>
              <w:rPr>
                <w:b w:val="0"/>
                <w:sz w:val="18"/>
              </w:rPr>
              <w:t>M4 종방향 jerk</w:t>
            </w:r>
          </w:p>
        </w:tc>
        <w:tc>
          <w:tcPr>
            <w:tcW w:type="dxa" w:w="3173"/>
          </w:tcPr>
          <w:p>
            <w:r>
              <w:rPr>
                <w:b w:val="0"/>
                <w:sz w:val="18"/>
              </w:rPr>
              <w:t>속도의 2차 차분 RMS (m/s³)</w:t>
            </w:r>
          </w:p>
        </w:tc>
        <w:tc>
          <w:tcPr>
            <w:tcW w:type="dxa" w:w="3173"/>
          </w:tcPr>
          <w:p>
            <w:r>
              <w:rPr>
                <w:b w:val="0"/>
                <w:sz w:val="18"/>
              </w:rPr>
              <w:t>승차감</w:t>
            </w:r>
          </w:p>
        </w:tc>
      </w:tr>
      <w:tr>
        <w:tc>
          <w:tcPr>
            <w:tcW w:type="dxa" w:w="3173"/>
          </w:tcPr>
          <w:p>
            <w:r>
              <w:rPr>
                <w:b w:val="0"/>
                <w:sz w:val="18"/>
              </w:rPr>
              <w:t>M5 판단 서술 일관성</w:t>
            </w:r>
          </w:p>
        </w:tc>
        <w:tc>
          <w:tcPr>
            <w:tcW w:type="dxa" w:w="3173"/>
          </w:tcPr>
          <w:p>
            <w:r>
              <w:rPr>
                <w:b w:val="0"/>
                <w:sz w:val="18"/>
              </w:rPr>
              <w:t>동일 상황 서술의 키워드 유사도</w:t>
            </w:r>
          </w:p>
        </w:tc>
        <w:tc>
          <w:tcPr>
            <w:tcW w:type="dxa" w:w="3173"/>
          </w:tcPr>
          <w:p>
            <w:r>
              <w:rPr>
                <w:b w:val="0"/>
                <w:sz w:val="18"/>
              </w:rPr>
              <w:t>VLA 모델 안정성</w:t>
            </w:r>
          </w:p>
        </w:tc>
      </w:tr>
      <w:tr>
        <w:tc>
          <w:tcPr>
            <w:tcW w:type="dxa" w:w="3173"/>
          </w:tcPr>
          <w:p>
            <w:r>
              <w:rPr>
                <w:b w:val="0"/>
                <w:sz w:val="18"/>
              </w:rPr>
              <w:t>M6 궤도 이탈</w:t>
            </w:r>
          </w:p>
        </w:tc>
        <w:tc>
          <w:tcPr>
            <w:tcW w:type="dxa" w:w="3173"/>
          </w:tcPr>
          <w:p>
            <w:r>
              <w:rPr>
                <w:b w:val="0"/>
                <w:sz w:val="18"/>
              </w:rPr>
              <w:t>레일 거버너 적용 시 최대 이탈 (m)</w:t>
            </w:r>
          </w:p>
        </w:tc>
        <w:tc>
          <w:tcPr>
            <w:tcW w:type="dxa" w:w="3173"/>
          </w:tcPr>
          <w:p>
            <w:r>
              <w:rPr>
                <w:b w:val="0"/>
                <w:sz w:val="18"/>
              </w:rPr>
              <w:t>Ⅴ장 검증</w:t>
            </w:r>
          </w:p>
        </w:tc>
      </w:tr>
    </w:tbl>
    <w:p>
      <w:pPr>
        <w:jc w:val="center"/>
      </w:pPr>
      <w:r>
        <w:rPr>
          <w:b/>
          <w:sz w:val="18"/>
        </w:rPr>
        <w:t>Table 2. 적용 사례의 평가 지표</w:t>
      </w:r>
    </w:p>
    <w:p>
      <w:r>
        <w:rPr>
          <w:i/>
          <w:color w:val="C00000"/>
          <w:sz w:val="18"/>
        </w:rPr>
        <w:t>M5는 본 논문의 독창적 지표입니다. '신호전략이 바뀌면 VLA의 판단 서술도 일관되게 바뀌는가'를 묻는 것으로, 기존 공동 시뮬레이션 연구에 없는 질문입니다. 심사에서 기여로 인정받을 가능성이 높으니 정의와 산출식을 명시적으로 쓰십시오.</w:t>
      </w:r>
    </w:p>
    <w:p>
      <w:r>
        <w:rPr>
          <w:i/>
          <w:color w:val="C00000"/>
          <w:sz w:val="18"/>
        </w:rPr>
        <w:t>실행 절차는 E7_실험계획.md 를 따르고, run_e7.sh 로 9런을 돌린 뒤 e7_metrics.py 로 지표를 산출하십시오. 현재 run_isaac_demo.py 에는 --seed 인자와 지표 로깅이 없어 패치 3건이 선행되어야 합니다.</w:t>
      </w:r>
    </w:p>
    <w:p>
      <w:pPr>
        <w:spacing w:before="260"/>
      </w:pPr>
      <w:r>
        <w:rPr>
          <w:b/>
          <w:sz w:val="25"/>
        </w:rPr>
        <w:t>Ⅶ. 결론</w:t>
      </w:r>
    </w:p>
    <w:p>
      <w:pPr>
        <w:ind w:firstLine="227"/>
      </w:pPr>
      <w:r>
        <w:t>본 연구에서는 교통류 모델과 3차원 주행 모델을 결합할 때의 상태 권한 문제를 역할 단위 분할로 해소하는 설계 패턴을 제시하고, 시간해상도 통일의 타당성을 모델 출력 불변성으로 검증하였으며, 궤도계 차량에 대해 횡방향 권한을 유보하는 레일 거버너 구조를 제안하였다. 제시한 패턴은 특정 시뮬레이터 조합에 종속되지 않으므로, 교통 이외의 도메인에서 검증된 거시 모델과 고충실도 렌더링 모델을 결합하는 경우에도 적용할 수 있다. 향후 연구로는 다중 에고 차량으로의 확장, 실차 주행자료를 이용한 결합 환경의 외적 타당성 검증을 제시한다.</w:t>
      </w:r>
    </w:p>
    <w:p>
      <w:pPr>
        <w:spacing w:before="260"/>
      </w:pPr>
      <w:r>
        <w:rPr>
          <w:b/>
          <w:sz w:val="25"/>
        </w:rPr>
        <w:t>참고문헌</w:t>
      </w:r>
    </w:p>
    <w:p>
      <w:pPr>
        <w:spacing w:after="60"/>
        <w:ind w:left="454" w:hanging="454"/>
      </w:pPr>
      <w:r>
        <w:t>Dosovitskiy A., Ros G., Codevilla F., Lopez A. and Koltun V.(2017), "CARLA: An Open Urban Driving Simulator", Proceedings of the 1st Annual Conference on Robot Learning (CoRL), PMLR, vol. 78, pp.1-16.</w:t>
      </w:r>
    </w:p>
    <w:p>
      <w:pPr>
        <w:spacing w:after="60"/>
        <w:ind w:left="454" w:hanging="454"/>
      </w:pPr>
      <w:r>
        <w:t>Fellendorf M. and Vortisch P.(2010), "Microscopic Traffic Flow Simulator VISSIM", in Barcelo J.(Ed.), Fundamentals of Traffic Simulation, Springer, New York, U.S.A., pp.63-93.</w:t>
      </w:r>
    </w:p>
    <w:p>
      <w:pPr>
        <w:spacing w:after="60"/>
        <w:ind w:left="454" w:hanging="454"/>
      </w:pPr>
      <w:r>
        <w:t>Hollander Y. and Liu R.(2008), "The principles of calibrating traffic microsimulation models", Transportation, vol. 35, no. 3, pp.347-362.</w:t>
      </w:r>
    </w:p>
    <w:p>
      <w:pPr>
        <w:spacing w:after="60"/>
        <w:ind w:left="454" w:hanging="454"/>
      </w:pPr>
      <w:r>
        <w:t>Jia X., Yang Z., Li Q., Zhang Z. and Yan J.(2024), "Bench2Drive: Towards Multi-Ability Benchmarking of Closed-Loop End-To-End Autonomous Driving", Advances in Neural Information Processing Systems 37 (NeurIPS), Datasets and Benchmarks Track.</w:t>
      </w:r>
    </w:p>
    <w:p>
      <w:pPr>
        <w:spacing w:after="60"/>
        <w:ind w:left="454" w:hanging="454"/>
      </w:pPr>
      <w:r>
        <w:t>Li P., Kusari A. and LeBlanc D. J.(2021), "A Novel Traffic Simulation Framework for Testing Autonomous Vehicles Using SUMO and CARLA", arXiv:2110.07111.</w:t>
      </w:r>
    </w:p>
    <w:p>
      <w:pPr>
        <w:spacing w:after="60"/>
        <w:ind w:left="454" w:hanging="454"/>
      </w:pPr>
      <w:r>
        <w:t>Lopez P. A., Behrisch M., Bieker-Walz L., Erdmann J., Flotterod Y. P., Hilbrich R., Lucken L., Rummel J., Wagner P. and Wiessner E.(2018), "Microscopic Traffic Simulation using SUMO", Proceedings of the 21st IEEE International Conference on Intelligent Transportation Systems (ITSC), pp.2575-2582.</w:t>
      </w:r>
    </w:p>
    <w:p>
      <w:pPr>
        <w:spacing w:after="60"/>
        <w:ind w:left="454" w:hanging="454"/>
      </w:pPr>
      <w:r>
        <w:t>NVIDIA(2026), Isaac Sim Documentation, https://docs.isaacsim.omniverse.nvidia.com, 2026.07.20.</w:t>
      </w:r>
    </w:p>
    <w:p>
      <w:pPr>
        <w:spacing w:after="60"/>
        <w:ind w:left="454" w:hanging="454"/>
      </w:pPr>
      <w:r>
        <w:t>Renz K., Chen L., Arani E. and Sinavski O.(2025), "SimLingo: Vision-Only Closed-Loop Autonomous Driving with Language-Action Alignment", Proceedings of the IEEE/CVF Conference on Computer Vision and Pattern Recognition (CVPR).</w:t>
      </w:r>
    </w:p>
    <w:p>
      <w:pPr>
        <w:spacing w:after="60"/>
        <w:ind w:left="454" w:hanging="454"/>
      </w:pPr>
      <w:r>
        <w:t>Wang Y. et al.(2025), "Alpamayo-R1: Bridging Reasoning and Action Prediction for Generalizable Autonomous Driving in the Long Tail", arXiv:2511.00088.</w:t>
      </w:r>
    </w:p>
    <w:p>
      <w:pPr>
        <w:spacing w:after="60"/>
        <w:ind w:left="454" w:hanging="454"/>
      </w:pPr>
      <w:r>
        <w:t>Wiedemann R.(1974), Simulation des Strassenverkehrsflusses, Schriftenreihe des Instituts fur Verkehrswesen, Heft 8, Universitat Karlsruhe, Karlsruhe, Germany.</w:t>
      </w:r>
    </w:p>
    <w:p>
      <w:r>
        <w:rPr>
          <w:i/>
          <w:color w:val="C00000"/>
          <w:sz w:val="18"/>
        </w:rPr>
        <w:t>한국시뮬레이션학회 논문지의 참고문헌 표기법은 학회 투고규정으로 최종 확인 후 변환하십시오(현재 홈페이지 접근 불가). 추가 권장: 연합 시뮬레이션·다중해상도 모델링의 고전 문헌 2~3편을 넣으면 시뮬레이션학회 독자에게 맥락이 잡힙니다.</w:t>
      </w:r>
    </w:p>
    <w:sectPr w:rsidR="00FC693F" w:rsidRPr="0006063C" w:rsidSect="00034616">
      <w:pgSz w:w="12240" w:h="15840"/>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Malgun Gothic" w:hAnsi="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