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0AAD2"/>
          <w:sz w:val="26"/>
        </w:rPr>
        <w:t>HMSG (Hyundai Motorsport GmbH) — WEC Racing</w:t>
      </w:r>
    </w:p>
    <w:p>
      <w:pPr>
        <w:spacing w:before="360" w:after="120"/>
        <w:pBdr>
          <w:bottom w:val="single" w:sz="18" w:space="4" w:color="F5A623"/>
        </w:pBdr>
      </w:pPr>
      <w:r>
        <w:rPr>
          <w:b/>
          <w:color w:val="002C5F"/>
          <w:sz w:val="52"/>
        </w:rPr>
        <w:t>Administration Guide</w:t>
      </w:r>
    </w:p>
    <w:p>
      <w:r>
        <w:rPr>
          <w:color w:val="595959"/>
          <w:sz w:val="25"/>
        </w:rPr>
        <w:t>Operating the HMSG WEC Racing production environment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496"/>
            <w:shd w:val="clear" w:fill="002C5F"/>
          </w:tcPr>
          <w:p>
            <w:r/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8496"/>
          </w:tcPr>
          <w:p>
            <w:r/>
            <w:r>
              <w:rPr>
                <w:b/>
                <w:sz w:val="20"/>
              </w:rPr>
              <w:t>Administration Guide</w:t>
            </w:r>
          </w:p>
        </w:tc>
      </w:tr>
      <w:tr>
        <w:tc>
          <w:tcPr>
            <w:tcW w:type="dxa" w:w="8496"/>
            <w:shd w:val="clear" w:fill="002C5F"/>
          </w:tcPr>
          <w:p>
            <w:r/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8496"/>
          </w:tcPr>
          <w:p>
            <w:r/>
            <w:r>
              <w:rPr>
                <w:b/>
                <w:sz w:val="20"/>
              </w:rPr>
            </w:r>
          </w:p>
        </w:tc>
      </w:tr>
      <w:tr>
        <w:tc>
          <w:tcPr>
            <w:tcW w:type="dxa" w:w="8496"/>
            <w:shd w:val="clear" w:fill="002C5F"/>
          </w:tcPr>
          <w:p>
            <w:r/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8496"/>
          </w:tcPr>
          <w:p>
            <w:r/>
            <w:r>
              <w:rPr>
                <w:b/>
                <w:sz w:val="20"/>
              </w:rPr>
              <w:t>HMSG (Hyundai Motorsport GmbH) — WEC Racing</w:t>
            </w:r>
          </w:p>
        </w:tc>
      </w:tr>
      <w:tr>
        <w:tc>
          <w:tcPr>
            <w:tcW w:type="dxa" w:w="8496"/>
            <w:shd w:val="clear" w:fill="002C5F"/>
          </w:tcPr>
          <w:p>
            <w:r/>
            <w:r>
              <w:rPr>
                <w:b/>
                <w:color w:val="FFFFFF"/>
                <w:sz w:val="20"/>
              </w:rPr>
              <w:t>Environment / Region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prd · eu-central-1 (Frankfurt)</w:t>
            </w:r>
          </w:p>
        </w:tc>
      </w:tr>
      <w:tr>
        <w:tc>
          <w:tcPr>
            <w:tcW w:type="dxa" w:w="8496"/>
            <w:shd w:val="clear" w:fill="002C5F"/>
          </w:tcPr>
          <w:p>
            <w:r/>
            <w:r>
              <w:rPr>
                <w:b/>
                <w:color w:val="FFFFFF"/>
                <w:sz w:val="20"/>
              </w:rPr>
              <w:t>Stack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hmsg-rac-prd</w:t>
            </w:r>
          </w:p>
        </w:tc>
      </w:tr>
      <w:tr>
        <w:tc>
          <w:tcPr>
            <w:tcW w:type="dxa" w:w="8496"/>
            <w:shd w:val="clear" w:fill="002C5F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8496"/>
            <w:shd w:val="clear" w:fill="002C5F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20 August 2026</w:t>
            </w:r>
          </w:p>
        </w:tc>
      </w:tr>
      <w:tr>
        <w:tc>
          <w:tcPr>
            <w:tcW w:type="dxa" w:w="8496"/>
            <w:shd w:val="clear" w:fill="002C5F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HAEE Cloud Team</w:t>
            </w:r>
          </w:p>
        </w:tc>
      </w:tr>
      <w:tr>
        <w:tc>
          <w:tcPr>
            <w:tcW w:type="dxa" w:w="8496"/>
            <w:shd w:val="clear" w:fill="002C5F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Draft — for review</w:t>
            </w:r>
          </w:p>
        </w:tc>
      </w:tr>
      <w:tr>
        <w:tc>
          <w:tcPr>
            <w:tcW w:type="dxa" w:w="8496"/>
            <w:shd w:val="clear" w:fill="002C5F"/>
          </w:tcPr>
          <w:p>
            <w:r/>
            <w:r>
              <w:rPr>
                <w:b/>
                <w:color w:val="FFFFFF"/>
                <w:sz w:val="20"/>
              </w:rPr>
              <w:t>Related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sub Documents in the deliverables folder</w:t>
            </w:r>
          </w:p>
        </w:tc>
      </w:tr>
      <w:tr>
        <w:tc>
          <w:tcPr>
            <w:tcW w:type="dxa" w:w="8496"/>
            <w:shd w:val="clear" w:fill="002C5F"/>
          </w:tcPr>
          <w:p>
            <w:r/>
            <w:r>
              <w:rPr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8496"/>
          </w:tcPr>
          <w:p>
            <w:r/>
            <w:r>
              <w:rPr>
                <w:sz w:val="20"/>
              </w:rPr>
              <w:t>main @ def9a32</w:t>
            </w:r>
          </w:p>
        </w:tc>
      </w:tr>
    </w:tbl>
    <w:p>
      <w:r>
        <w:br w:type="page"/>
      </w:r>
    </w:p>
    <w:p>
      <w:pPr>
        <w:pStyle w:val="Heading1"/>
      </w:pPr>
      <w:r>
        <w:t>1. Purpose &amp; scope</w:t>
      </w:r>
    </w:p>
    <w:p>
      <w:pPr>
        <w:spacing w:after="120"/>
      </w:pPr>
      <w:r>
        <w:t>Day-2 guide for operating the HMSG WEC Racing production environment: the Windows MSSQL host, AWS Client VPN access, and (when enabled) the Site-to-Site VPN.</w:t>
      </w:r>
    </w:p>
    <w:p>
      <w:pPr>
        <w:pStyle w:val="Heading1"/>
      </w:pPr>
      <w:r>
        <w:t>2. Access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002C5F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21"/>
              </w:rPr>
              <w:t>Path</w:t>
            </w:r>
          </w:p>
        </w:tc>
        <w:tc>
          <w:tcPr>
            <w:tcW w:type="dxa" w:w="4896"/>
            <w:shd w:val="clear" w:fill="002C5F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21"/>
              </w:rPr>
              <w:t>How to use</w:t>
            </w:r>
          </w:p>
        </w:tc>
        <w:tc>
          <w:tcPr>
            <w:tcW w:type="dxa" w:w="3600"/>
            <w:shd w:val="clear" w:fill="002C5F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AWS Client VPN</w:t>
            </w:r>
          </w:p>
        </w:tc>
        <w:tc>
          <w:tcPr>
            <w:tcW w:type="dxa" w:w="4896"/>
          </w:tcPr>
          <w:p>
            <w:pPr>
              <w:spacing w:before="20" w:after="20"/>
            </w:pPr>
            <w:r/>
            <w:r>
              <w:rPr>
                <w:sz w:val="20"/>
              </w:rPr>
              <w:t>Import HSMG-client-config.ovpn into the AWS Client VPN client and sign in with Entra ID SSO — see the Client VPN Quick-Start for end users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sz w:val="20"/>
              </w:rPr>
              <w:t>Primary access for developers (≤10 users)</w:t>
            </w:r>
          </w:p>
        </w:tc>
      </w:tr>
      <w:tr>
        <w:tc>
          <w:tcPr>
            <w:tcW w:type="dxa" w:w="2304"/>
            <w:shd w:val="clear" w:fill="F2F7FB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RDP to EC2</w:t>
            </w:r>
          </w:p>
        </w:tc>
        <w:tc>
          <w:tcPr>
            <w:tcW w:type="dxa" w:w="4896"/>
            <w:shd w:val="clear" w:fill="F2F7FB"/>
          </w:tcPr>
          <w:p>
            <w:pPr>
              <w:spacing w:before="20" w:after="20"/>
            </w:pPr>
            <w:r/>
            <w:r>
              <w:rPr>
                <w:sz w:val="20"/>
              </w:rPr>
              <w:t>mstsc → MssqlPrivateIp (172.200.0.128–159 range) with sysadm</w:t>
            </w:r>
          </w:p>
        </w:tc>
        <w:tc>
          <w:tcPr>
            <w:tcW w:type="dxa" w:w="3600"/>
            <w:shd w:val="clear" w:fill="F2F7FB"/>
          </w:tcPr>
          <w:p>
            <w:pPr>
              <w:spacing w:before="20" w:after="20"/>
            </w:pPr>
            <w:r/>
            <w:r>
              <w:rPr>
                <w:sz w:val="20"/>
              </w:rPr>
              <w:t>Only reachable through Client VPN / on-prem — no public IP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SSM Session Manager</w:t>
            </w:r>
          </w:p>
        </w:tc>
        <w:tc>
          <w:tcPr>
            <w:tcW w:type="dxa" w:w="4896"/>
          </w:tcPr>
          <w:p>
            <w:pPr>
              <w:spacing w:before="20" w:after="20"/>
            </w:pPr>
            <w:r/>
            <w:r>
              <w:rPr>
                <w:sz w:val="20"/>
              </w:rPr>
              <w:t>EC2 console or aws ssm start-session; uses the instance profile</w:t>
            </w:r>
          </w:p>
        </w:tc>
        <w:tc>
          <w:tcPr>
            <w:tcW w:type="dxa" w:w="3600"/>
          </w:tcPr>
          <w:p>
            <w:pPr>
              <w:spacing w:before="20" w:after="20"/>
            </w:pPr>
            <w:r/>
            <w:r>
              <w:rPr>
                <w:sz w:val="20"/>
              </w:rPr>
              <w:t>Backup access when RDP is unavailable</w:t>
            </w:r>
          </w:p>
        </w:tc>
      </w:tr>
      <w:tr>
        <w:tc>
          <w:tcPr>
            <w:tcW w:type="dxa" w:w="2304"/>
            <w:shd w:val="clear" w:fill="F2F7FB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AWS console / CLI</w:t>
            </w:r>
          </w:p>
        </w:tc>
        <w:tc>
          <w:tcPr>
            <w:tcW w:type="dxa" w:w="4896"/>
            <w:shd w:val="clear" w:fill="F2F7FB"/>
          </w:tcPr>
          <w:p>
            <w:pPr>
              <w:spacing w:before="20" w:after="20"/>
            </w:pPr>
            <w:r/>
            <w:r>
              <w:rPr>
                <w:sz w:val="20"/>
              </w:rPr>
              <w:t>AWS account 440027026402, eu-central-1, stack hmsg-rac-prd</w:t>
            </w:r>
          </w:p>
        </w:tc>
        <w:tc>
          <w:tcPr>
            <w:tcW w:type="dxa" w:w="3600"/>
            <w:shd w:val="clear" w:fill="F2F7FB"/>
          </w:tcPr>
          <w:p>
            <w:pPr>
              <w:spacing w:before="20" w:after="20"/>
            </w:pPr>
            <w:r/>
            <w:r>
              <w:rPr>
                <w:sz w:val="20"/>
              </w:rPr>
              <w:t>Operations and troubleshooting</w:t>
            </w:r>
          </w:p>
        </w:tc>
      </w:tr>
    </w:tbl>
    <w:p>
      <w:pPr>
        <w:pStyle w:val="Heading1"/>
      </w:pPr>
      <w:r>
        <w:t>3. Key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464"/>
            <w:shd w:val="clear" w:fill="002C5F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21"/>
              </w:rPr>
              <w:t>Resource</w:t>
            </w:r>
          </w:p>
        </w:tc>
        <w:tc>
          <w:tcPr>
            <w:tcW w:type="dxa" w:w="6336"/>
            <w:shd w:val="clear" w:fill="002C5F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21"/>
              </w:rPr>
              <w:t>What it is</w:t>
            </w:r>
          </w:p>
        </w:tc>
      </w:tr>
      <w:tr>
        <w:tc>
          <w:tcPr>
            <w:tcW w:type="dxa" w:w="4464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hmsg-rac-prd-vpc-ec1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sz w:val="20"/>
              </w:rPr>
              <w:t>VPC 172.200.0.0/24 — dual-AZ public / private / DB subnets</w:t>
            </w:r>
          </w:p>
        </w:tc>
      </w:tr>
      <w:tr>
        <w:tc>
          <w:tcPr>
            <w:tcW w:type="dxa" w:w="4464"/>
            <w:shd w:val="clear" w:fill="F2F7FB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hmsg-rac-prd-mssql01-ec2-ec1a</w:t>
            </w:r>
          </w:p>
        </w:tc>
        <w:tc>
          <w:tcPr>
            <w:tcW w:type="dxa" w:w="6336"/>
            <w:shd w:val="clear" w:fill="F2F7FB"/>
          </w:tcPr>
          <w:p>
            <w:pPr>
              <w:spacing w:before="20" w:after="20"/>
            </w:pPr>
            <w:r/>
            <w:r>
              <w:rPr>
                <w:sz w:val="20"/>
              </w:rPr>
              <w:t>Windows Server 2022 (m7i.2xlarge) — 250 GB root + 4 TB D: data volume</w:t>
            </w:r>
          </w:p>
        </w:tc>
      </w:tr>
      <w:tr>
        <w:tc>
          <w:tcPr>
            <w:tcW w:type="dxa" w:w="4464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hmsg-rac-prd-clientvpn-ec1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sz w:val="20"/>
              </w:rPr>
              <w:t>Client VPN endpoint — SAML (Entra ID) auth, UDP 443, split tunnel</w:t>
            </w:r>
          </w:p>
        </w:tc>
      </w:tr>
      <w:tr>
        <w:tc>
          <w:tcPr>
            <w:tcW w:type="dxa" w:w="4464"/>
            <w:shd w:val="clear" w:fill="F2F7FB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hmsg-rac-prd-vpn-conn-ec1</w:t>
            </w:r>
          </w:p>
        </w:tc>
        <w:tc>
          <w:tcPr>
            <w:tcW w:type="dxa" w:w="6336"/>
            <w:shd w:val="clear" w:fill="F2F7FB"/>
          </w:tcPr>
          <w:p>
            <w:pPr>
              <w:spacing w:before="20" w:after="20"/>
            </w:pPr>
            <w:r/>
            <w:r>
              <w:rPr>
                <w:sz w:val="20"/>
              </w:rPr>
              <w:t>Site-to-Site VPN (optional) — static route to the on-prem network</w:t>
            </w:r>
          </w:p>
        </w:tc>
      </w:tr>
      <w:tr>
        <w:tc>
          <w:tcPr>
            <w:tcW w:type="dxa" w:w="4464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hmsg-rac-prd-sysadm-password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sz w:val="20"/>
              </w:rPr>
              <w:t>Secrets Manager secret — sysadm local administrator password</w:t>
            </w:r>
          </w:p>
        </w:tc>
      </w:tr>
    </w:tbl>
    <w:p>
      <w:pPr>
        <w:pStyle w:val="Heading1"/>
      </w:pPr>
      <w:r>
        <w:t>4. Operating rules</w:t>
      </w:r>
    </w:p>
    <w:p>
      <w:pPr>
        <w:pStyle w:val="ListBullet"/>
        <w:spacing w:after="40"/>
      </w:pPr>
      <w:r>
        <w:rPr>
          <w:sz w:val="21"/>
        </w:rPr>
        <w:t>UserData runs only at first boot: rotate sysadm by changing the Windows password on the host first, then update the secret.</w:t>
      </w:r>
    </w:p>
    <w:p>
      <w:pPr>
        <w:pStyle w:val="ListBullet"/>
        <w:spacing w:after="40"/>
      </w:pPr>
      <w:r>
        <w:rPr>
          <w:sz w:val="21"/>
        </w:rPr>
        <w:t>The DB subnet has no internet route by design — AWS APIs are only reachable through the VPC interface endpoints.</w:t>
      </w:r>
    </w:p>
    <w:p>
      <w:pPr>
        <w:pStyle w:val="ListBullet"/>
        <w:spacing w:after="40"/>
      </w:pPr>
      <w:r>
        <w:rPr>
          <w:sz w:val="21"/>
        </w:rPr>
        <w:t>Do not attach a public IP to the EC2 instance.</w:t>
      </w:r>
    </w:p>
    <w:p>
      <w:pPr>
        <w:pStyle w:val="ListBullet"/>
        <w:spacing w:after="40"/>
      </w:pPr>
      <w:r>
        <w:rPr>
          <w:sz w:val="21"/>
        </w:rPr>
        <w:t>Entra ID application and user management are client-owned after handover.</w:t>
      </w:r>
    </w:p>
    <w:p>
      <w:pPr>
        <w:pStyle w:val="ListBullet"/>
        <w:spacing w:after="40"/>
      </w:pPr>
      <w:r>
        <w:rPr>
          <w:sz w:val="21"/>
        </w:rPr>
        <w:t>Temporary implementation IAM permissions are removed at project completion.</w:t>
      </w:r>
    </w:p>
    <w:p>
      <w:pPr>
        <w:pStyle w:val="ListBullet"/>
        <w:spacing w:after="40"/>
      </w:pPr>
      <w:r>
        <w:rPr>
          <w:sz w:val="21"/>
        </w:rPr>
        <w:t>Client VPN → CloudWatch (90 days).</w:t>
      </w:r>
    </w:p>
    <w:p>
      <w:pPr>
        <w:pStyle w:val="Heading1"/>
      </w:pPr>
      <w:r>
        <w:t>5. Routine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fill="002C5F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21"/>
              </w:rPr>
              <w:t>Check</w:t>
            </w:r>
          </w:p>
        </w:tc>
        <w:tc>
          <w:tcPr>
            <w:tcW w:type="dxa" w:w="6480"/>
            <w:shd w:val="clear" w:fill="002C5F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21"/>
              </w:rPr>
              <w:t>Expected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Client VPN endpoint state</w:t>
            </w:r>
          </w:p>
        </w:tc>
        <w:tc>
          <w:tcPr>
            <w:tcW w:type="dxa" w:w="6480"/>
          </w:tcPr>
          <w:p>
            <w:pPr>
              <w:spacing w:before="20" w:after="20"/>
            </w:pPr>
            <w:r/>
            <w:r>
              <w:rPr>
                <w:sz w:val="20"/>
              </w:rPr>
              <w:t>available; clients connect via Entra ID SSO</w:t>
            </w:r>
          </w:p>
        </w:tc>
      </w:tr>
      <w:tr>
        <w:tc>
          <w:tcPr>
            <w:tcW w:type="dxa" w:w="4320"/>
            <w:shd w:val="clear" w:fill="F2F7FB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4 TB data volume</w:t>
            </w:r>
          </w:p>
        </w:tc>
        <w:tc>
          <w:tcPr>
            <w:tcW w:type="dxa" w:w="6480"/>
            <w:shd w:val="clear" w:fill="F2F7FB"/>
          </w:tcPr>
          <w:p>
            <w:pPr>
              <w:spacing w:before="20" w:after="20"/>
            </w:pPr>
            <w:r/>
            <w:r>
              <w:rPr>
                <w:sz w:val="20"/>
              </w:rPr>
              <w:t>Mounted as D:, NTFS, label SQLData, at least 20% free for SQL growth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Port 1433 reachability</w:t>
            </w:r>
          </w:p>
        </w:tc>
        <w:tc>
          <w:tcPr>
            <w:tcW w:type="dxa" w:w="6480"/>
          </w:tcPr>
          <w:p>
            <w:pPr>
              <w:spacing w:before="20" w:after="20"/>
            </w:pPr>
            <w:r/>
            <w:r>
              <w:rPr>
                <w:sz w:val="20"/>
              </w:rPr>
              <w:t>Allowed from 10.200.0.0/22 (and on-prem CIDR when the S2S VPN exists)</w:t>
            </w:r>
          </w:p>
        </w:tc>
      </w:tr>
      <w:tr>
        <w:tc>
          <w:tcPr>
            <w:tcW w:type="dxa" w:w="4320"/>
            <w:shd w:val="clear" w:fill="F2F7FB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Site-to-Site tunnel state</w:t>
            </w:r>
          </w:p>
        </w:tc>
        <w:tc>
          <w:tcPr>
            <w:tcW w:type="dxa" w:w="6480"/>
            <w:shd w:val="clear" w:fill="F2F7FB"/>
          </w:tcPr>
          <w:p>
            <w:pPr>
              <w:spacing w:before="20" w:after="20"/>
            </w:pPr>
            <w:r/>
            <w:r>
              <w:rPr>
                <w:sz w:val="20"/>
              </w:rPr>
              <w:t>UP on both ends; route advertised in pri/db route tables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Secrets Manager secret</w:t>
            </w:r>
          </w:p>
        </w:tc>
        <w:tc>
          <w:tcPr>
            <w:tcW w:type="dxa" w:w="6480"/>
          </w:tcPr>
          <w:p>
            <w:pPr>
              <w:spacing w:before="20" w:after="20"/>
            </w:pPr>
            <w:r/>
            <w:r>
              <w:rPr>
                <w:sz w:val="20"/>
              </w:rPr>
              <w:t>Matches the current Windows password</w:t>
            </w:r>
          </w:p>
        </w:tc>
      </w:tr>
    </w:tbl>
    <w:p>
      <w:pPr>
        <w:pStyle w:val="Heading1"/>
      </w:pPr>
      <w:r>
        <w:t>6. Handover</w:t>
      </w:r>
    </w:p>
    <w:p>
      <w:pPr>
        <w:spacing w:after="120"/>
      </w:pPr>
      <w:r>
        <w:t>At project completion: deliver the documentation set, remove temporary IAM access, transfer VPN user administration to HMGRS / the client, and obtain sign-off.</w:t>
      </w:r>
    </w:p>
    <w:p>
      <w:pPr>
        <w:spacing w:before="80"/>
      </w:pPr>
      <w:r>
        <w:rPr>
          <w:i/>
          <w:color w:val="595959"/>
          <w:sz w:val="20"/>
        </w:rPr>
        <w:t>Prepare for handover: export Security Group rules, route tables and endpoint IDs from the resource inventory workbook before transferring ownership.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rPr>
        <w:color w:val="99A7B4"/>
        <w:sz w:val="17"/>
      </w:rPr>
      <w:t>HMSG WEC Racing — PRD · Administration Guide</w:t>
    </w:r>
    <w:r>
      <w:tab/>
    </w:r>
    <w:fldSimple w:instr="PAGE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2C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2C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2C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