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Administration Guide</w:t>
      </w:r>
    </w:p>
    <w:p>
      <w:r>
        <w:t>HMSG WEC Racing PRD - operational guide for the Windows MSSQL host, Client VPN, and Site-to-Site VPN.</w:t>
      </w:r>
    </w:p>
    <w:p>
      <w:pPr>
        <w:pStyle w:val="Heading1"/>
      </w:pPr>
      <w:r>
        <w:t>1. Scope</w:t>
      </w:r>
    </w:p>
    <w:p>
      <w:r>
        <w:t>This guide covers day-2 access, basic operations, and handover responsibilities for the HMSG WEC Racing PRD environment.</w:t>
      </w:r>
    </w:p>
    <w:p>
      <w:pPr>
        <w:pStyle w:val="Heading1"/>
      </w:pPr>
      <w:r>
        <w:t>2. Key Access Paths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8"/>
          </w:tcPr>
          <w:p>
            <w:r>
              <w:rPr>
                <w:b/>
                <w:color w:val="FFFFFF"/>
              </w:rPr>
              <w:t>Path</w:t>
            </w:r>
          </w:p>
        </w:tc>
        <w:tc>
          <w:tcPr>
            <w:tcW w:type="dxa" w:w="2880"/>
            <w:shd w:fill="1F4E78"/>
          </w:tcPr>
          <w:p>
            <w:r>
              <w:rPr>
                <w:b/>
                <w:color w:val="FFFFFF"/>
              </w:rPr>
              <w:t>How to use it</w:t>
            </w:r>
          </w:p>
        </w:tc>
        <w:tc>
          <w:tcPr>
            <w:tcW w:type="dxa" w:w="2880"/>
            <w:shd w:fill="1F4E78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AWS Client VPN</w:t>
            </w:r>
          </w:p>
        </w:tc>
        <w:tc>
          <w:tcPr>
            <w:tcW w:type="dxa" w:w="2880"/>
          </w:tcPr>
          <w:p>
            <w:r>
              <w:t>Connect with the .ovpn file and Entra ID SSO</w:t>
            </w:r>
          </w:p>
        </w:tc>
        <w:tc>
          <w:tcPr>
            <w:tcW w:type="dxa" w:w="2880"/>
          </w:tcPr>
          <w:p>
            <w:r>
              <w:t>Primary developer access path</w:t>
            </w:r>
          </w:p>
        </w:tc>
      </w:tr>
      <w:tr>
        <w:tc>
          <w:tcPr>
            <w:tcW w:type="dxa" w:w="2880"/>
          </w:tcPr>
          <w:p>
            <w:r>
              <w:t>RDP to EC2</w:t>
            </w:r>
          </w:p>
        </w:tc>
        <w:tc>
          <w:tcPr>
            <w:tcW w:type="dxa" w:w="2880"/>
          </w:tcPr>
          <w:p>
            <w:r>
              <w:t>Use sysadm via Client VPN to reach the private IP</w:t>
            </w:r>
          </w:p>
        </w:tc>
        <w:tc>
          <w:tcPr>
            <w:tcW w:type="dxa" w:w="2880"/>
          </w:tcPr>
          <w:p>
            <w:r>
              <w:t>No public IP is assigned</w:t>
            </w:r>
          </w:p>
        </w:tc>
      </w:tr>
      <w:tr>
        <w:tc>
          <w:tcPr>
            <w:tcW w:type="dxa" w:w="2880"/>
          </w:tcPr>
          <w:p>
            <w:r>
              <w:t>SSM Session Manager</w:t>
            </w:r>
          </w:p>
        </w:tc>
        <w:tc>
          <w:tcPr>
            <w:tcW w:type="dxa" w:w="2880"/>
          </w:tcPr>
          <w:p>
            <w:r>
              <w:t>Use the instance profile and VPC endpoints</w:t>
            </w:r>
          </w:p>
        </w:tc>
        <w:tc>
          <w:tcPr>
            <w:tcW w:type="dxa" w:w="2880"/>
          </w:tcPr>
          <w:p>
            <w:r>
              <w:t>Backup access path when RDP is unavailable</w:t>
            </w:r>
          </w:p>
        </w:tc>
      </w:tr>
    </w:tbl>
    <w:p>
      <w:pPr>
        <w:pStyle w:val="Heading1"/>
      </w:pPr>
      <w:r>
        <w:t>3. Key Resources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8"/>
          </w:tcPr>
          <w:p>
            <w:r>
              <w:rPr>
                <w:b/>
                <w:color w:val="FFFFFF"/>
              </w:rPr>
              <w:t>Resource</w:t>
            </w:r>
          </w:p>
        </w:tc>
        <w:tc>
          <w:tcPr>
            <w:tcW w:type="dxa" w:w="4320"/>
            <w:shd w:fill="1F4E78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VPC</w:t>
            </w:r>
          </w:p>
        </w:tc>
        <w:tc>
          <w:tcPr>
            <w:tcW w:type="dxa" w:w="4320"/>
          </w:tcPr>
          <w:p>
            <w:r>
              <w:t>172.200.0.0/24 network with dual-AZ public/private/DB subnets</w:t>
            </w:r>
          </w:p>
        </w:tc>
      </w:tr>
      <w:tr>
        <w:tc>
          <w:tcPr>
            <w:tcW w:type="dxa" w:w="4320"/>
          </w:tcPr>
          <w:p>
            <w:r>
              <w:t>EC2 MSSQL host</w:t>
            </w:r>
          </w:p>
        </w:tc>
        <w:tc>
          <w:tcPr>
            <w:tcW w:type="dxa" w:w="4320"/>
          </w:tcPr>
          <w:p>
            <w:r>
              <w:t>Windows Server 2022, m7i.2xlarge, 250GB root + 4TB data</w:t>
            </w:r>
          </w:p>
        </w:tc>
      </w:tr>
      <w:tr>
        <w:tc>
          <w:tcPr>
            <w:tcW w:type="dxa" w:w="4320"/>
          </w:tcPr>
          <w:p>
            <w:r>
              <w:t>Client VPN</w:t>
            </w:r>
          </w:p>
        </w:tc>
        <w:tc>
          <w:tcPr>
            <w:tcW w:type="dxa" w:w="4320"/>
          </w:tcPr>
          <w:p>
            <w:r>
              <w:t>SAML / Entra ID access for developers</w:t>
            </w:r>
          </w:p>
        </w:tc>
      </w:tr>
      <w:tr>
        <w:tc>
          <w:tcPr>
            <w:tcW w:type="dxa" w:w="4320"/>
          </w:tcPr>
          <w:p>
            <w:r>
              <w:t>Site-to-Site VPN</w:t>
            </w:r>
          </w:p>
        </w:tc>
        <w:tc>
          <w:tcPr>
            <w:tcW w:type="dxa" w:w="4320"/>
          </w:tcPr>
          <w:p>
            <w:r>
              <w:t>Optional on-prem connectivity when client values are supplied</w:t>
            </w:r>
          </w:p>
        </w:tc>
      </w:tr>
      <w:tr>
        <w:tc>
          <w:tcPr>
            <w:tcW w:type="dxa" w:w="4320"/>
          </w:tcPr>
          <w:p>
            <w:r>
              <w:t>Secrets Manager</w:t>
            </w:r>
          </w:p>
        </w:tc>
        <w:tc>
          <w:tcPr>
            <w:tcW w:type="dxa" w:w="4320"/>
          </w:tcPr>
          <w:p>
            <w:r>
              <w:t>Stores the sysadm password</w:t>
            </w:r>
          </w:p>
        </w:tc>
      </w:tr>
    </w:tbl>
    <w:p>
      <w:pPr>
        <w:pStyle w:val="Heading1"/>
      </w:pPr>
      <w:r>
        <w:t>4. Operating Rules</w:t>
      </w:r>
    </w:p>
    <w:p>
      <w:pPr>
        <w:pStyle w:val="ListBullet"/>
      </w:pPr>
      <w:r>
        <w:t>Keep the sysadm password in sync with the Windows local account; UserData only runs at first boot.</w:t>
      </w:r>
    </w:p>
    <w:p>
      <w:pPr>
        <w:pStyle w:val="ListBullet"/>
      </w:pPr>
      <w:r>
        <w:t>The DB subnet has no internet route by design; AWS APIs are reached through VPC endpoints only.</w:t>
      </w:r>
    </w:p>
    <w:p>
      <w:pPr>
        <w:pStyle w:val="ListBullet"/>
      </w:pPr>
      <w:r>
        <w:t>Do not assign public IPs to the EC2 instance.</w:t>
      </w:r>
    </w:p>
    <w:p>
      <w:pPr>
        <w:pStyle w:val="ListBullet"/>
      </w:pPr>
      <w:r>
        <w:t>Entra ID user management is client-owned after handover.</w:t>
      </w:r>
    </w:p>
    <w:p>
      <w:pPr>
        <w:pStyle w:val="ListBullet"/>
      </w:pPr>
      <w:r>
        <w:t>Temporary implementation IAM permissions must be removed at project completion.</w:t>
      </w:r>
    </w:p>
    <w:p>
      <w:pPr>
        <w:pStyle w:val="Heading1"/>
      </w:pPr>
      <w:r>
        <w:t>5. Common Checks</w:t>
      </w:r>
    </w:p>
    <w:p>
      <w:pPr>
        <w:pStyle w:val="ListBullet"/>
      </w:pPr>
      <w:r>
        <w:t>Confirm the client VPN endpoint is up and the SAML app is configured.</w:t>
      </w:r>
    </w:p>
    <w:p>
      <w:pPr>
        <w:pStyle w:val="ListBullet"/>
      </w:pPr>
      <w:r>
        <w:t>Confirm the 4 TB data volume is mounted as D: and available for SQL data.</w:t>
      </w:r>
    </w:p>
    <w:p>
      <w:pPr>
        <w:pStyle w:val="ListBullet"/>
      </w:pPr>
      <w:r>
        <w:t>Confirm port 1433 is allowed from the Client VPN CIDR and, when enabled, the on-prem CIDR.</w:t>
      </w:r>
    </w:p>
    <w:p>
      <w:pPr>
        <w:pStyle w:val="ListBullet"/>
      </w:pPr>
      <w:r>
        <w:t>Confirm the site-to-site route is propagated if the optional VPN is deployed.</w:t>
      </w:r>
    </w:p>
    <w:p>
      <w:pPr>
        <w:pStyle w:val="Heading1"/>
      </w:pPr>
      <w:r>
        <w:t>6. Handover</w:t>
      </w:r>
    </w:p>
    <w:p>
      <w:r>
        <w:t>At project completion, hand over the deliverables folder, close temporary IAM access, and transfer VPN user administration to HMGRS / the client team.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