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80" w:before="160" w:line="295.2" w:lineRule="auto"/>
        <w:rPr>
          <w:color w:val="1b2f61"/>
          <w:sz w:val="60"/>
          <w:szCs w:val="60"/>
        </w:rPr>
      </w:pPr>
      <w:bookmarkStart w:colFirst="0" w:colLast="0" w:name="_i4xqgf24a42h" w:id="0"/>
      <w:bookmarkEnd w:id="0"/>
      <w:r w:rsidDel="00000000" w:rsidR="00000000" w:rsidRPr="00000000">
        <w:rPr>
          <w:color w:val="1b2f61"/>
          <w:sz w:val="60"/>
          <w:szCs w:val="60"/>
          <w:rtl w:val="0"/>
        </w:rPr>
        <w:t xml:space="preserve">About TGE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TGE stands for Token Generating Events.</w:t>
      </w:r>
    </w:p>
    <w:p w:rsidR="00000000" w:rsidDel="00000000" w:rsidP="00000000" w:rsidRDefault="00000000" w:rsidRPr="00000000" w14:paraId="00000003">
      <w:pPr>
        <w:shd w:fill="ffffff" w:val="clear"/>
        <w:rPr>
          <w:color w:val="1b2f61"/>
          <w:sz w:val="24"/>
          <w:szCs w:val="24"/>
        </w:rPr>
      </w:pPr>
      <w:r w:rsidDel="00000000" w:rsidR="00000000" w:rsidRPr="00000000">
        <w:rPr>
          <w:color w:val="1b2f61"/>
          <w:sz w:val="24"/>
          <w:szCs w:val="24"/>
          <w:rtl w:val="0"/>
        </w:rPr>
        <w:t xml:space="preserve">Depending on the conditions of the deal, users will receive a certain percentage of token within a set vesting interval. This is done to ensure that the platform is not abused and that investors have chances to gain a profit from each deal they’ve joined.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