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60" w:line="295.2" w:lineRule="auto"/>
        <w:rPr>
          <w:color w:val="1b2f61"/>
          <w:sz w:val="60"/>
          <w:szCs w:val="60"/>
        </w:rPr>
      </w:pPr>
      <w:bookmarkStart w:colFirst="0" w:colLast="0" w:name="_c4htto7ij3wv" w:id="0"/>
      <w:bookmarkEnd w:id="0"/>
      <w:r w:rsidDel="00000000" w:rsidR="00000000" w:rsidRPr="00000000">
        <w:rPr>
          <w:color w:val="1b2f61"/>
          <w:sz w:val="60"/>
          <w:szCs w:val="60"/>
          <w:rtl w:val="0"/>
        </w:rPr>
        <w:t xml:space="preserve">Are the allocations guaranteed?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Megacapital.io offers deals under the First Come First Serve (FCFS) basis for all tiers except if the investor stake for more than 1 year then they will receive a guaranty allocation.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What this means is that any investor can join the active deals until a set amount of tokens is reached.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This ensures that all participants have an equal chance of success in obtaining an investment allocation.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