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Supplementary Table 1. Detailed UDDB cohort characteristics and analytic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Characteristic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Total Population (N = 2395)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Demographics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Sex: Female,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1190 (49.7%)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Sex: Male,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1205 (50.3%)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Age at T1D diagnosis (years), mean ± SD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11.2 ± 5.6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Age at T1D diagnosis (years), median [Q1, Q3]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11 [6.99, 15]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Age at last follow-up (years), mean ± SD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18.3 ± 5.3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Age at last follow-up (years), median [Q1, Q3]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19 [14.84, 22.63]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Diabetes History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Diabetes type: T1D (confirmed),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881 (36.8%)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Diabetes type: IMPUTED_T1D,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1514 (63.2%)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Age at diagnosis bin,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0–4 years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351 (14.7%)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5–9 years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663 (27.7%)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10–14 years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733 (30.6%)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15–19 years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463 (19.3%)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  20–24 years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185 (7.7%)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Clinical Follow-up &amp; Data Support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Follow-up duration (years), mean ± SD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7.8 ± 5.2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Follow-up duration (years), median [Q1, Q3]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6.75 [3.4, 11.38]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Total clinical visit count, mean ± SD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29.3 ± 26.8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Total clinical visit count, median [Q1, Q3]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24 [13, 38]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Unique BP encounter-days, mean ± SD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10.4 ± 20.3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Unique BP encounter-days, median [Q1, Q3]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 [4, 11]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Pediatric Phenotyping (Ages &lt;18 years)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Patients with classifiable pediatric BP, 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1294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Median classifiable pediatric BP days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Sustained pediatric HTN (≥3 encounter-days),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276 (11.5%)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Sustained Stage 2 pediatric HTN (≥3 days), n (%)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23 (1.0%)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Patients with plausible pediatric BMI, 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1210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Median pediatric BMI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Adult Follow-up (Subset, Ages ≥18 years)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N with adult BP records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1360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Adult BP encounter-days, median [Q1, Q3]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6 [4, 12]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Adult HTN (≥2 days), 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57.8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  Adult Stage 2 HTN (≥2 days), 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