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93BED" w14:textId="77777777" w:rsidR="00DD0DBC" w:rsidRPr="00780F4B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0F4B">
        <w:rPr>
          <w:rFonts w:ascii="Times New Roman" w:hAnsi="Times New Roman" w:cs="Times New Roman"/>
          <w:color w:val="000000" w:themeColor="text1"/>
          <w:sz w:val="24"/>
          <w:szCs w:val="24"/>
        </w:rPr>
        <w:t>Table 1. Integrated cohort design and analytic data support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0F4B" w:rsidRPr="00780F4B" w14:paraId="438168B1" w14:textId="77777777" w:rsidTr="00780F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2C9C4F" w14:textId="77777777" w:rsidR="00DD0DBC" w:rsidRPr="00780F4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0F4B">
              <w:rPr>
                <w:rFonts w:ascii="Times New Roman" w:hAnsi="Times New Roman" w:cs="Times New Roman"/>
                <w:color w:val="000000" w:themeColor="text1"/>
              </w:rPr>
              <w:t>Characteristic</w:t>
            </w:r>
          </w:p>
        </w:tc>
        <w:tc>
          <w:tcPr>
            <w:tcW w:w="2880" w:type="dxa"/>
          </w:tcPr>
          <w:p w14:paraId="717558CA" w14:textId="77777777" w:rsidR="00DD0DBC" w:rsidRPr="00780F4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780F4B">
              <w:rPr>
                <w:rFonts w:ascii="Times New Roman" w:hAnsi="Times New Roman" w:cs="Times New Roman"/>
                <w:color w:val="000000" w:themeColor="text1"/>
              </w:rPr>
              <w:t>UDDb population EHR cohort</w:t>
            </w:r>
          </w:p>
        </w:tc>
        <w:tc>
          <w:tcPr>
            <w:tcW w:w="2880" w:type="dxa"/>
          </w:tcPr>
          <w:p w14:paraId="3DDC3245" w14:textId="77777777" w:rsidR="00DD0DBC" w:rsidRPr="00780F4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780F4B">
              <w:rPr>
                <w:rFonts w:ascii="Times New Roman" w:hAnsi="Times New Roman" w:cs="Times New Roman"/>
                <w:color w:val="000000" w:themeColor="text1"/>
              </w:rPr>
              <w:t>ADDAM biobank cohort</w:t>
            </w:r>
          </w:p>
        </w:tc>
      </w:tr>
      <w:tr w:rsidR="00780F4B" w:rsidRPr="00780F4B" w14:paraId="1D1DAA00" w14:textId="77777777" w:rsidTr="00780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9A3028" w14:textId="77777777" w:rsidR="00DD0DBC" w:rsidRPr="00780F4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0F4B">
              <w:rPr>
                <w:rFonts w:ascii="Times New Roman" w:hAnsi="Times New Roman" w:cs="Times New Roman"/>
                <w:color w:val="000000" w:themeColor="text1"/>
              </w:rPr>
              <w:t>Sample size (N)</w:t>
            </w:r>
          </w:p>
        </w:tc>
        <w:tc>
          <w:tcPr>
            <w:tcW w:w="2880" w:type="dxa"/>
          </w:tcPr>
          <w:p w14:paraId="743650E9" w14:textId="77777777" w:rsidR="00DD0DBC" w:rsidRPr="00780F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780F4B">
              <w:rPr>
                <w:rFonts w:ascii="Times New Roman" w:hAnsi="Times New Roman" w:cs="Times New Roman"/>
                <w:color w:val="000000" w:themeColor="text1"/>
              </w:rPr>
              <w:t>2,395 youth with confirmed or imputed T1D</w:t>
            </w:r>
          </w:p>
        </w:tc>
        <w:tc>
          <w:tcPr>
            <w:tcW w:w="2880" w:type="dxa"/>
          </w:tcPr>
          <w:p w14:paraId="62CAE770" w14:textId="77777777" w:rsidR="00DD0DBC" w:rsidRPr="00780F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780F4B">
              <w:rPr>
                <w:rFonts w:ascii="Times New Roman" w:hAnsi="Times New Roman" w:cs="Times New Roman"/>
                <w:color w:val="000000" w:themeColor="text1"/>
              </w:rPr>
              <w:t>288 deeply phenotyped pediatric T1D participants</w:t>
            </w:r>
          </w:p>
        </w:tc>
      </w:tr>
      <w:tr w:rsidR="00780F4B" w:rsidRPr="00780F4B" w14:paraId="3C85DB22" w14:textId="77777777" w:rsidTr="00780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0F9493" w14:textId="77777777" w:rsidR="00DD0DBC" w:rsidRPr="00780F4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0F4B">
              <w:rPr>
                <w:rFonts w:ascii="Times New Roman" w:hAnsi="Times New Roman" w:cs="Times New Roman"/>
                <w:color w:val="000000" w:themeColor="text1"/>
              </w:rPr>
              <w:t>Blood pressure (BP)</w:t>
            </w:r>
          </w:p>
        </w:tc>
        <w:tc>
          <w:tcPr>
            <w:tcW w:w="2880" w:type="dxa"/>
          </w:tcPr>
          <w:p w14:paraId="6EC38552" w14:textId="77777777" w:rsidR="00DD0DBC" w:rsidRPr="00780F4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780F4B">
              <w:rPr>
                <w:rFonts w:ascii="Times New Roman" w:hAnsi="Times New Roman" w:cs="Times New Roman"/>
                <w:color w:val="000000" w:themeColor="text1"/>
              </w:rPr>
              <w:t>1,294 individuals with height-informed, classifiable pediatric BP</w:t>
            </w:r>
          </w:p>
        </w:tc>
        <w:tc>
          <w:tcPr>
            <w:tcW w:w="2880" w:type="dxa"/>
          </w:tcPr>
          <w:p w14:paraId="5DDE8449" w14:textId="77777777" w:rsidR="00DD0DBC" w:rsidRPr="00780F4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780F4B">
              <w:rPr>
                <w:rFonts w:ascii="Times New Roman" w:hAnsi="Times New Roman" w:cs="Times New Roman"/>
                <w:color w:val="000000" w:themeColor="text1"/>
              </w:rPr>
              <w:t>48 elevated-BP cases and 240 normotensive controls</w:t>
            </w:r>
          </w:p>
        </w:tc>
      </w:tr>
      <w:tr w:rsidR="00780F4B" w:rsidRPr="00780F4B" w14:paraId="63E1A95F" w14:textId="77777777" w:rsidTr="00780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346F6E" w14:textId="77777777" w:rsidR="00DD0DBC" w:rsidRPr="00780F4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0F4B">
              <w:rPr>
                <w:rFonts w:ascii="Times New Roman" w:hAnsi="Times New Roman" w:cs="Times New Roman"/>
                <w:color w:val="000000" w:themeColor="text1"/>
              </w:rPr>
              <w:t>Hypertension (HTN)</w:t>
            </w:r>
          </w:p>
        </w:tc>
        <w:tc>
          <w:tcPr>
            <w:tcW w:w="2880" w:type="dxa"/>
          </w:tcPr>
          <w:p w14:paraId="54A3C51F" w14:textId="77777777" w:rsidR="00DD0DBC" w:rsidRPr="00780F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780F4B">
              <w:rPr>
                <w:rFonts w:ascii="Times New Roman" w:hAnsi="Times New Roman" w:cs="Times New Roman"/>
                <w:color w:val="000000" w:themeColor="text1"/>
              </w:rPr>
              <w:t>276 (11.5%) with hypertension defined on ≥3 encounter-days</w:t>
            </w:r>
          </w:p>
        </w:tc>
        <w:tc>
          <w:tcPr>
            <w:tcW w:w="2880" w:type="dxa"/>
          </w:tcPr>
          <w:p w14:paraId="29CE2156" w14:textId="77777777" w:rsidR="00DD0DBC" w:rsidRPr="00780F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780F4B">
              <w:rPr>
                <w:rFonts w:ascii="Times New Roman" w:hAnsi="Times New Roman" w:cs="Times New Roman"/>
                <w:color w:val="000000" w:themeColor="text1"/>
              </w:rPr>
              <w:t>Elevated BP status used as outcome for supervised modeling</w:t>
            </w:r>
          </w:p>
        </w:tc>
      </w:tr>
      <w:tr w:rsidR="00780F4B" w:rsidRPr="00780F4B" w14:paraId="7C80118E" w14:textId="77777777" w:rsidTr="00780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2B8623" w14:textId="77777777" w:rsidR="00DD0DBC" w:rsidRPr="00780F4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0F4B">
              <w:rPr>
                <w:rFonts w:ascii="Times New Roman" w:hAnsi="Times New Roman" w:cs="Times New Roman"/>
                <w:color w:val="000000" w:themeColor="text1"/>
              </w:rPr>
              <w:t>Anthropometry (height/BMI)</w:t>
            </w:r>
          </w:p>
        </w:tc>
        <w:tc>
          <w:tcPr>
            <w:tcW w:w="2880" w:type="dxa"/>
          </w:tcPr>
          <w:p w14:paraId="17C5EABF" w14:textId="77777777" w:rsidR="00DD0DBC" w:rsidRPr="00780F4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780F4B">
              <w:rPr>
                <w:rFonts w:ascii="Times New Roman" w:hAnsi="Times New Roman" w:cs="Times New Roman"/>
                <w:color w:val="000000" w:themeColor="text1"/>
              </w:rPr>
              <w:t>Nearest valid height/BMI matched to BP encounter-days within 365 days</w:t>
            </w:r>
          </w:p>
        </w:tc>
        <w:tc>
          <w:tcPr>
            <w:tcW w:w="2880" w:type="dxa"/>
          </w:tcPr>
          <w:p w14:paraId="1ECB68CC" w14:textId="77777777" w:rsidR="00DD0DBC" w:rsidRPr="00780F4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780F4B">
              <w:rPr>
                <w:rFonts w:ascii="Times New Roman" w:hAnsi="Times New Roman" w:cs="Times New Roman"/>
                <w:color w:val="000000" w:themeColor="text1"/>
              </w:rPr>
              <w:t>BMI, BMI z-score, and related anthropometric predictors</w:t>
            </w:r>
          </w:p>
        </w:tc>
      </w:tr>
      <w:tr w:rsidR="00780F4B" w:rsidRPr="00780F4B" w14:paraId="25A9C09C" w14:textId="77777777" w:rsidTr="00780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2E5E4F" w14:textId="77777777" w:rsidR="00DD0DBC" w:rsidRPr="00780F4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0F4B">
              <w:rPr>
                <w:rFonts w:ascii="Times New Roman" w:hAnsi="Times New Roman" w:cs="Times New Roman"/>
                <w:color w:val="000000" w:themeColor="text1"/>
              </w:rPr>
              <w:t>Kidney function (eGFR)</w:t>
            </w:r>
          </w:p>
        </w:tc>
        <w:tc>
          <w:tcPr>
            <w:tcW w:w="2880" w:type="dxa"/>
          </w:tcPr>
          <w:p w14:paraId="05E4E1EE" w14:textId="77777777" w:rsidR="00DD0DBC" w:rsidRPr="00780F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780F4B">
              <w:rPr>
                <w:rFonts w:ascii="Times New Roman" w:hAnsi="Times New Roman" w:cs="Times New Roman"/>
                <w:color w:val="000000" w:themeColor="text1"/>
              </w:rPr>
              <w:t>1,044 patients; 3,178 height-matched creatinine labs used to estimate CKiD U25 eGFR</w:t>
            </w:r>
          </w:p>
        </w:tc>
        <w:tc>
          <w:tcPr>
            <w:tcW w:w="2880" w:type="dxa"/>
          </w:tcPr>
          <w:p w14:paraId="38BC2A26" w14:textId="77777777" w:rsidR="00DD0DBC" w:rsidRPr="00780F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780F4B">
              <w:rPr>
                <w:rFonts w:ascii="Times New Roman" w:hAnsi="Times New Roman" w:cs="Times New Roman"/>
                <w:color w:val="000000" w:themeColor="text1"/>
              </w:rPr>
              <w:t>Not designed for kidney trajectory analyses</w:t>
            </w:r>
          </w:p>
        </w:tc>
      </w:tr>
      <w:tr w:rsidR="00780F4B" w:rsidRPr="00780F4B" w14:paraId="2F831326" w14:textId="77777777" w:rsidTr="00780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4EDB1D" w14:textId="77777777" w:rsidR="00DD0DBC" w:rsidRPr="00780F4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0F4B">
              <w:rPr>
                <w:rFonts w:ascii="Times New Roman" w:hAnsi="Times New Roman" w:cs="Times New Roman"/>
                <w:color w:val="000000" w:themeColor="text1"/>
              </w:rPr>
              <w:t>Data elements</w:t>
            </w:r>
          </w:p>
        </w:tc>
        <w:tc>
          <w:tcPr>
            <w:tcW w:w="2880" w:type="dxa"/>
          </w:tcPr>
          <w:p w14:paraId="7838DB72" w14:textId="77777777" w:rsidR="00DD0DBC" w:rsidRPr="00780F4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780F4B">
              <w:rPr>
                <w:rFonts w:ascii="Times New Roman" w:hAnsi="Times New Roman" w:cs="Times New Roman"/>
                <w:color w:val="000000" w:themeColor="text1"/>
              </w:rPr>
              <w:t>EHR diagnoses, BP, anthropometry, creatinine, and longitudinal follow-up</w:t>
            </w:r>
          </w:p>
        </w:tc>
        <w:tc>
          <w:tcPr>
            <w:tcW w:w="2880" w:type="dxa"/>
          </w:tcPr>
          <w:p w14:paraId="3847A49E" w14:textId="77777777" w:rsidR="00DD0DBC" w:rsidRPr="00780F4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780F4B">
              <w:rPr>
                <w:rFonts w:ascii="Times New Roman" w:hAnsi="Times New Roman" w:cs="Times New Roman"/>
                <w:color w:val="000000" w:themeColor="text1"/>
              </w:rPr>
              <w:t>~150 predictors including autoantibodies, ancestry, 124 SNP dosage variables, and T1D GRS/PRS</w:t>
            </w:r>
          </w:p>
        </w:tc>
      </w:tr>
      <w:tr w:rsidR="00780F4B" w:rsidRPr="00780F4B" w14:paraId="1C983AA6" w14:textId="77777777" w:rsidTr="00780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8252CC" w14:textId="77777777" w:rsidR="00DD0DBC" w:rsidRPr="00780F4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80F4B">
              <w:rPr>
                <w:rFonts w:ascii="Times New Roman" w:hAnsi="Times New Roman" w:cs="Times New Roman"/>
                <w:color w:val="000000" w:themeColor="text1"/>
              </w:rPr>
              <w:t>Analytic role</w:t>
            </w:r>
          </w:p>
        </w:tc>
        <w:tc>
          <w:tcPr>
            <w:tcW w:w="2880" w:type="dxa"/>
          </w:tcPr>
          <w:p w14:paraId="6CAF4C93" w14:textId="77777777" w:rsidR="00DD0DBC" w:rsidRPr="00780F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780F4B">
              <w:rPr>
                <w:rFonts w:ascii="Times New Roman" w:hAnsi="Times New Roman" w:cs="Times New Roman"/>
                <w:color w:val="000000" w:themeColor="text1"/>
              </w:rPr>
              <w:t>Estimate population-level BP burden and kidney-risk trajectories</w:t>
            </w:r>
          </w:p>
        </w:tc>
        <w:tc>
          <w:tcPr>
            <w:tcW w:w="2880" w:type="dxa"/>
          </w:tcPr>
          <w:p w14:paraId="1C1995E5" w14:textId="77777777" w:rsidR="00DD0DBC" w:rsidRPr="00780F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780F4B">
              <w:rPr>
                <w:rFonts w:ascii="Times New Roman" w:hAnsi="Times New Roman" w:cs="Times New Roman"/>
                <w:color w:val="000000" w:themeColor="text1"/>
              </w:rPr>
              <w:t>Evaluate whether clinical, immune, anthropometric, ancestry, and genetic features improve elevated-BP risk profiling</w:t>
            </w:r>
          </w:p>
        </w:tc>
      </w:tr>
    </w:tbl>
    <w:p w14:paraId="170EBE96" w14:textId="77777777" w:rsidR="003B7847" w:rsidRPr="00780F4B" w:rsidRDefault="003B7847">
      <w:pPr>
        <w:rPr>
          <w:rFonts w:ascii="Times New Roman" w:hAnsi="Times New Roman" w:cs="Times New Roman"/>
          <w:color w:val="000000" w:themeColor="text1"/>
        </w:rPr>
      </w:pPr>
    </w:p>
    <w:sectPr w:rsidR="003B7847" w:rsidRPr="00780F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2351478">
    <w:abstractNumId w:val="8"/>
  </w:num>
  <w:num w:numId="2" w16cid:durableId="1344943164">
    <w:abstractNumId w:val="6"/>
  </w:num>
  <w:num w:numId="3" w16cid:durableId="562377831">
    <w:abstractNumId w:val="5"/>
  </w:num>
  <w:num w:numId="4" w16cid:durableId="715663749">
    <w:abstractNumId w:val="4"/>
  </w:num>
  <w:num w:numId="5" w16cid:durableId="821460468">
    <w:abstractNumId w:val="7"/>
  </w:num>
  <w:num w:numId="6" w16cid:durableId="379600382">
    <w:abstractNumId w:val="3"/>
  </w:num>
  <w:num w:numId="7" w16cid:durableId="734619624">
    <w:abstractNumId w:val="2"/>
  </w:num>
  <w:num w:numId="8" w16cid:durableId="1311863372">
    <w:abstractNumId w:val="1"/>
  </w:num>
  <w:num w:numId="9" w16cid:durableId="410859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7847"/>
    <w:rsid w:val="0077569A"/>
    <w:rsid w:val="00780F4B"/>
    <w:rsid w:val="00AA1D8D"/>
    <w:rsid w:val="00B47730"/>
    <w:rsid w:val="00CB0664"/>
    <w:rsid w:val="00DD0D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F39631"/>
  <w14:defaultImageDpi w14:val="300"/>
  <w15:docId w15:val="{B0E17F7C-0FC2-5E40-AD84-0893D96C6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780F4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780F4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rsid w:val="00780F4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rsid w:val="00780F4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9"/>
    <w:rsid w:val="00780F4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99"/>
    <w:rsid w:val="00780F4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2">
    <w:name w:val="Grid Table 1 Light Accent 2"/>
    <w:basedOn w:val="TableNormal"/>
    <w:uiPriority w:val="46"/>
    <w:rsid w:val="00780F4B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780F4B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MIGUEL LAZAROGUEVARA</cp:lastModifiedBy>
  <cp:revision>2</cp:revision>
  <dcterms:created xsi:type="dcterms:W3CDTF">2013-12-23T23:15:00Z</dcterms:created>
  <dcterms:modified xsi:type="dcterms:W3CDTF">2026-05-03T02:56:00Z</dcterms:modified>
  <cp:category/>
</cp:coreProperties>
</file>