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xml" ContentType="application/vnd.openxmlformats-officedocument.wordprocessingml.comment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
      </w:pPr>
      <w:r>
        <w:rPr>
          <w:rFonts w:ascii="Cormorant Garamond" w:cs="Cormorant Garamond" w:eastAsia="Cormorant Garamond" w:hAnsi="Cormorant Garamond"/>
          <w:b/>
          <w:bCs/>
          <w:i w:val="false"/>
          <w:iCs w:val="false"/>
          <w:caps w:val="false"/>
          <w:color w:val="2E2E2E"/>
          <w:spacing w:val="26"/>
          <w:sz w:val="40"/>
          <w:szCs w:val="40"/>
        </w:rPr>
        <w:t xml:space="preserve">MEGALODOME GOLF</w:t>
      </w:r>
    </w:p>
    <w:p>
      <w:pPr>
        <w:spacing w:after="60"/>
      </w:pPr>
      <w:r>
        <w:rPr>
          <w:rFonts w:ascii="Arial" w:cs="Arial" w:eastAsia="Arial" w:hAnsi="Arial"/>
          <w:b/>
          <w:bCs/>
          <w:i w:val="false"/>
          <w:iCs w:val="false"/>
          <w:caps/>
          <w:color w:val="DFCE9D"/>
          <w:spacing w:val="24"/>
          <w:sz w:val="17"/>
          <w:szCs w:val="17"/>
        </w:rPr>
        <w:t xml:space="preserve">Investor Engagement &amp; Capital-Formation Playbook</w:t>
      </w:r>
    </w:p>
    <w:p>
      <w:pPr>
        <w:spacing w:after="20" w:before="40" w:line="268"/>
      </w:pPr>
      <w:r>
        <w:rPr>
          <w:rFonts w:ascii="Arial" w:cs="Arial" w:eastAsia="Arial" w:hAnsi="Arial"/>
          <w:b w:val="false"/>
          <w:bCs w:val="false"/>
          <w:i w:val="false"/>
          <w:iCs w:val="false"/>
          <w:caps w:val="false"/>
          <w:color w:val="6B6B6B"/>
          <w:sz w:val="18"/>
          <w:szCs w:val="18"/>
        </w:rPr>
        <w:t xml:space="preserve">Chicago West · MEGALODOME GOLF Equity Fund I · Reg D 506(c)</w:t>
      </w:r>
    </w:p>
    <w:p>
      <w:pPr>
        <w:spacing w:after="20" w:before="40" w:line="268"/>
      </w:pPr>
      <w:r>
        <w:rPr>
          <w:rFonts w:ascii="Arial" w:cs="Arial" w:eastAsia="Arial" w:hAnsi="Arial"/>
          <w:b w:val="false"/>
          <w:bCs w:val="false"/>
          <w:i/>
          <w:iCs/>
          <w:caps w:val="false"/>
          <w:color w:val="6B6B6B"/>
          <w:sz w:val="18"/>
          <w:szCs w:val="18"/>
        </w:rPr>
        <w:t xml:space="preserve">Internal — prepared for Nick Badyal, VP Sales &amp; Partnerships. How we sequence documents, run investor meetings, gate the data room, and convert prospects into committed capital.</w:t>
      </w:r>
    </w:p>
    <w:p>
      <w:pPr>
        <w:shd w:fill="2E2E2E" w:val="clear"/>
        <w:spacing w:after="120" w:before="220"/>
      </w:pPr>
      <w:r>
        <w:rPr>
          <w:rFonts w:ascii="Arial" w:cs="Arial" w:eastAsia="Arial" w:hAnsi="Arial"/>
          <w:b/>
          <w:bCs/>
          <w:i w:val="false"/>
          <w:iCs w:val="false"/>
          <w:caps/>
          <w:color w:val="FFFFFF"/>
          <w:spacing w:val="16"/>
          <w:sz w:val="22"/>
          <w:szCs w:val="22"/>
        </w:rPr>
        <w:t xml:space="preserve">  1 · The Operating Principle</w:t>
      </w:r>
    </w:p>
    <w:p>
      <w:pPr>
        <w:spacing w:after="90" w:before="40" w:line="268"/>
      </w:pPr>
      <w:r>
        <w:rPr>
          <w:rFonts w:ascii="Arial" w:cs="Arial" w:eastAsia="Arial" w:hAnsi="Arial"/>
          <w:b w:val="false"/>
          <w:bCs w:val="false"/>
          <w:i w:val="false"/>
          <w:iCs w:val="false"/>
          <w:caps w:val="false"/>
          <w:color w:val="2E2E2E"/>
          <w:sz w:val="20"/>
          <w:szCs w:val="20"/>
        </w:rPr>
        <w:t xml:space="preserve">Three ideas drive everything below. First: the meeting’s job is to earn the next step, not to close on the spot — every interaction ends with a booked next action. Second: because Fund I is a Reg D 506(c) offering, we are permitted to market and solicit publicly, so our top-of-funnel materials are designed to travel, not to hide behind a signature. Third: the NDA exists to protect proprietary business detail (the full model, designs, contracts), not to gate the marketing that is meant to attract investors. Getting these two functions — solicitation vs. protection — in the right order is the core of the strategy.</w:t>
      </w:r>
    </w:p>
    <w:p>
      <w:pPr>
        <w:spacing w:after="90" w:before="40" w:line="268"/>
      </w:pPr>
      <w:r>
        <w:rPr>
          <w:rFonts w:ascii="Arial" w:cs="Arial" w:eastAsia="Arial" w:hAnsi="Arial"/>
          <w:b/>
          <w:bCs/>
          <w:i w:val="false"/>
          <w:iCs w:val="false"/>
          <w:caps w:val="false"/>
          <w:color w:val="2E2E2E"/>
          <w:sz w:val="20"/>
          <w:szCs w:val="20"/>
        </w:rPr>
        <w:t xml:space="preserve">Why 506(c) changes the NDA question: </w:t>
      </w:r>
      <w:r>
        <w:rPr>
          <w:rFonts w:ascii="Arial" w:cs="Arial" w:eastAsia="Arial" w:hAnsi="Arial"/>
          <w:b w:val="false"/>
          <w:bCs w:val="false"/>
          <w:i w:val="false"/>
          <w:iCs w:val="false"/>
          <w:caps w:val="false"/>
          <w:color w:val="2E2E2E"/>
          <w:sz w:val="20"/>
          <w:szCs w:val="20"/>
        </w:rPr>
        <w:t xml:space="preserve">Under Rule 506(c) we may generally solicit and advertise, provided every purchaser is an accredited investor and we take reasonable steps to verify it. That means the one-pager, executive summary, pro-forma summary and pitch deck can be shared with a qualified prospect </w:t>
      </w:r>
      <w:r>
        <w:rPr>
          <w:rFonts w:ascii="Arial" w:cs="Arial" w:eastAsia="Arial" w:hAnsi="Arial"/>
          <w:b/>
          <w:bCs/>
          <w:i w:val="false"/>
          <w:iCs w:val="false"/>
          <w:caps w:val="false"/>
          <w:color w:val="2E2E2E"/>
          <w:sz w:val="20"/>
          <w:szCs w:val="20"/>
        </w:rPr>
        <w:t xml:space="preserve">before</w:t>
      </w:r>
      <w:r>
        <w:rPr>
          <w:rFonts w:ascii="Arial" w:cs="Arial" w:eastAsia="Arial" w:hAnsi="Arial"/>
          <w:b w:val="false"/>
          <w:bCs w:val="false"/>
          <w:i w:val="false"/>
          <w:iCs w:val="false"/>
          <w:caps w:val="false"/>
          <w:color w:val="2E2E2E"/>
          <w:sz w:val="20"/>
          <w:szCs w:val="20"/>
        </w:rPr>
        <w:t xml:space="preserve"> any NDA. Gating the teaser behind an NDA adds friction, contradicts the 506(c) posture, and is the kind of thing sophisticated investors decline to sign. We gate the </w:t>
      </w:r>
      <w:r>
        <w:rPr>
          <w:rFonts w:ascii="Arial" w:cs="Arial" w:eastAsia="Arial" w:hAnsi="Arial"/>
          <w:b/>
          <w:bCs/>
          <w:i w:val="false"/>
          <w:iCs w:val="false"/>
          <w:caps w:val="false"/>
          <w:color w:val="2E2E2E"/>
          <w:sz w:val="20"/>
          <w:szCs w:val="20"/>
        </w:rPr>
        <w:t xml:space="preserve">data room</w:t>
      </w:r>
      <w:r>
        <w:rPr>
          <w:rFonts w:ascii="Arial" w:cs="Arial" w:eastAsia="Arial" w:hAnsi="Arial"/>
          <w:b w:val="false"/>
          <w:bCs w:val="false"/>
          <w:i w:val="false"/>
          <w:iCs w:val="false"/>
          <w:caps w:val="false"/>
          <w:color w:val="2E2E2E"/>
          <w:sz w:val="20"/>
          <w:szCs w:val="20"/>
        </w:rPr>
        <w:t xml:space="preserve">, not the brochure.</w:t>
      </w:r>
    </w:p>
    <w:p>
      <w:pPr>
        <w:shd w:fill="2E2E2E" w:val="clear"/>
        <w:spacing w:after="120" w:before="220"/>
      </w:pPr>
      <w:r>
        <w:rPr>
          <w:rFonts w:ascii="Arial" w:cs="Arial" w:eastAsia="Arial" w:hAnsi="Arial"/>
          <w:b/>
          <w:bCs/>
          <w:i w:val="false"/>
          <w:iCs w:val="false"/>
          <w:caps/>
          <w:color w:val="FFFFFF"/>
          <w:spacing w:val="16"/>
          <w:sz w:val="22"/>
          <w:szCs w:val="22"/>
        </w:rPr>
        <w:t xml:space="preserve">  2 · Document Architecture &amp; Sharing Sequence</w:t>
      </w:r>
    </w:p>
    <w:p>
      <w:pPr>
        <w:spacing w:after="90" w:before="40" w:line="268"/>
      </w:pPr>
      <w:r>
        <w:rPr>
          <w:rFonts w:ascii="Arial" w:cs="Arial" w:eastAsia="Arial" w:hAnsi="Arial"/>
          <w:b w:val="false"/>
          <w:bCs w:val="false"/>
          <w:i w:val="false"/>
          <w:iCs w:val="false"/>
          <w:caps w:val="false"/>
          <w:color w:val="2E2E2E"/>
          <w:sz w:val="20"/>
          <w:szCs w:val="20"/>
        </w:rPr>
        <w:t xml:space="preserve">Four tiers, each with a clear gate. Your instinct — one-pager and executive summary before the meeting, deck during, deeper materials after an NDA — is right; this just formalizes it and adds the pro-forma summary up front and a verification gate on the offering documents.</w:t>
      </w:r>
    </w:p>
    <w:tbl>
      <w:tblPr>
        <w:tblW w:type="dxa" w:w="10224"/>
        <w:tblBorders>
          <w:top w:val="single" w:color="D8D2C4" w:sz="1"/>
          <w:left w:val="single" w:color="D8D2C4" w:sz="1"/>
          <w:bottom w:val="single" w:color="D8D2C4" w:sz="1"/>
          <w:right w:val="single" w:color="D8D2C4" w:sz="1"/>
          <w:insideH w:val="single" w:color="D8D2C4" w:sz="1"/>
          <w:insideV w:val="single" w:color="D8D2C4" w:sz="1"/>
        </w:tblBorders>
      </w:tblPr>
      <w:tblGrid>
        <w:gridCol w:w="1500"/>
        <w:gridCol w:w="3550"/>
        <w:gridCol w:w="2150"/>
        <w:gridCol w:w="3024"/>
      </w:tblGrid>
      <w:tr>
        <w:trPr>
          <w:tblHeader/>
        </w:trPr>
        <w:tc>
          <w:tcPr>
            <w:tcW w:type="dxa" w:w="1500"/>
            <w:shd w:fill="2E2E2E" w:val="clear"/>
            <w:tcMar>
              <w:top w:type="dxa" w:w="56"/>
              <w:left w:type="dxa" w:w="110"/>
              <w:bottom w:type="dxa" w:w="56"/>
              <w:right w:type="dxa" w:w="110"/>
            </w:tcMar>
            <w:vAlign w:val="top"/>
          </w:tcPr>
          <w:p>
            <w:pPr>
              <w:spacing w:after="0" w:before="0" w:line="248"/>
              <w:jc w:val="left"/>
            </w:pPr>
            <w:r>
              <w:rPr>
                <w:rFonts w:ascii="Arial" w:cs="Arial" w:eastAsia="Arial" w:hAnsi="Arial"/>
                <w:b/>
                <w:bCs/>
                <w:i w:val="false"/>
                <w:iCs w:val="false"/>
                <w:caps w:val="false"/>
                <w:color w:val="FFFFFF"/>
                <w:sz w:val="19"/>
                <w:szCs w:val="19"/>
              </w:rPr>
              <w:t xml:space="preserve">Tier</w:t>
            </w:r>
          </w:p>
        </w:tc>
        <w:tc>
          <w:tcPr>
            <w:tcW w:type="dxa" w:w="3550"/>
            <w:shd w:fill="2E2E2E" w:val="clear"/>
            <w:tcMar>
              <w:top w:type="dxa" w:w="56"/>
              <w:left w:type="dxa" w:w="110"/>
              <w:bottom w:type="dxa" w:w="56"/>
              <w:right w:type="dxa" w:w="110"/>
            </w:tcMar>
            <w:vAlign w:val="top"/>
          </w:tcPr>
          <w:p>
            <w:pPr>
              <w:spacing w:after="0" w:before="0" w:line="248"/>
              <w:jc w:val="left"/>
            </w:pPr>
            <w:r>
              <w:rPr>
                <w:rFonts w:ascii="Arial" w:cs="Arial" w:eastAsia="Arial" w:hAnsi="Arial"/>
                <w:b/>
                <w:bCs/>
                <w:i w:val="false"/>
                <w:iCs w:val="false"/>
                <w:caps w:val="false"/>
                <w:color w:val="FFFFFF"/>
                <w:sz w:val="19"/>
                <w:szCs w:val="19"/>
              </w:rPr>
              <w:t xml:space="preserve">Documents</w:t>
            </w:r>
          </w:p>
        </w:tc>
        <w:tc>
          <w:tcPr>
            <w:tcW w:type="dxa" w:w="2150"/>
            <w:shd w:fill="2E2E2E" w:val="clear"/>
            <w:tcMar>
              <w:top w:type="dxa" w:w="56"/>
              <w:left w:type="dxa" w:w="110"/>
              <w:bottom w:type="dxa" w:w="56"/>
              <w:right w:type="dxa" w:w="110"/>
            </w:tcMar>
            <w:vAlign w:val="top"/>
          </w:tcPr>
          <w:p>
            <w:pPr>
              <w:spacing w:after="0" w:before="0" w:line="248"/>
              <w:jc w:val="left"/>
            </w:pPr>
            <w:r>
              <w:rPr>
                <w:rFonts w:ascii="Arial" w:cs="Arial" w:eastAsia="Arial" w:hAnsi="Arial"/>
                <w:b/>
                <w:bCs/>
                <w:i w:val="false"/>
                <w:iCs w:val="false"/>
                <w:caps w:val="false"/>
                <w:color w:val="FFFFFF"/>
                <w:sz w:val="19"/>
                <w:szCs w:val="19"/>
              </w:rPr>
              <w:t xml:space="preserve">Gate</w:t>
            </w:r>
          </w:p>
        </w:tc>
        <w:tc>
          <w:tcPr>
            <w:tcW w:type="dxa" w:w="3024"/>
            <w:shd w:fill="2E2E2E" w:val="clear"/>
            <w:tcMar>
              <w:top w:type="dxa" w:w="56"/>
              <w:left w:type="dxa" w:w="110"/>
              <w:bottom w:type="dxa" w:w="56"/>
              <w:right w:type="dxa" w:w="110"/>
            </w:tcMar>
            <w:vAlign w:val="top"/>
          </w:tcPr>
          <w:p>
            <w:pPr>
              <w:spacing w:after="0" w:before="0" w:line="248"/>
              <w:jc w:val="left"/>
            </w:pPr>
            <w:r>
              <w:rPr>
                <w:rFonts w:ascii="Arial" w:cs="Arial" w:eastAsia="Arial" w:hAnsi="Arial"/>
                <w:b/>
                <w:bCs/>
                <w:i w:val="false"/>
                <w:iCs w:val="false"/>
                <w:caps w:val="false"/>
                <w:color w:val="FFFFFF"/>
                <w:sz w:val="19"/>
                <w:szCs w:val="19"/>
              </w:rPr>
              <w:t xml:space="preserve">When / why</w:t>
            </w:r>
          </w:p>
        </w:tc>
      </w:tr>
      <w:tr>
        <w:trPr>
          <w:tblHeader w:val="false"/>
        </w:trPr>
        <w:tc>
          <w:tcPr>
            <w:tcW w:type="dxa" w:w="150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0 · Public</w:t>
            </w:r>
          </w:p>
        </w:tc>
        <w:tc>
          <w:tcPr>
            <w:tcW w:type="dxa" w:w="355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Teaser one-pager, landing page (invest.megalodomegolf.com), marketing deck (PDF)</w:t>
            </w:r>
          </w:p>
        </w:tc>
        <w:tc>
          <w:tcPr>
            <w:tcW w:type="dxa" w:w="215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None (506(c) solicitation)</w:t>
            </w:r>
          </w:p>
        </w:tc>
        <w:tc>
          <w:tcPr>
            <w:tcW w:type="dxa" w:w="3024"/>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Cold outreach, ads, warm intros. Designed to travel and get the meeting.</w:t>
            </w:r>
          </w:p>
        </w:tc>
      </w:tr>
      <w:tr>
        <w:trPr>
          <w:tblHeader w:val="false"/>
        </w:trPr>
        <w:tc>
          <w:tcPr>
            <w:tcW w:type="dxa" w:w="150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1 · Pre-meeting</w:t>
            </w:r>
          </w:p>
        </w:tc>
        <w:tc>
          <w:tcPr>
            <w:tcW w:type="dxa" w:w="355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One-Pager, Executive Summary, Pro-Forma Summary, Abbreviations Key</w:t>
            </w:r>
          </w:p>
        </w:tc>
        <w:tc>
          <w:tcPr>
            <w:tcW w:type="dxa" w:w="215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Light — accredited self-ID</w:t>
            </w:r>
          </w:p>
        </w:tc>
        <w:tc>
          <w:tcPr>
            <w:tcW w:type="dxa" w:w="3024"/>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Sent 2–3 days before the meeting so the call isn’t spent on basics.</w:t>
            </w:r>
          </w:p>
        </w:tc>
      </w:tr>
      <w:tr>
        <w:trPr>
          <w:tblHeader w:val="false"/>
        </w:trPr>
        <w:tc>
          <w:tcPr>
            <w:tcW w:type="dxa" w:w="150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2 · Data room</w:t>
            </w:r>
          </w:p>
        </w:tc>
        <w:tc>
          <w:tcPr>
            <w:tcW w:type="dxa" w:w="355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Pitch Deck (reading version), Target Asset Preview, full Investor Pro-Forma workbook, Business Plan, design docs, municipal approvals, LOIs / MOUs</w:t>
            </w:r>
          </w:p>
        </w:tc>
        <w:tc>
          <w:tcPr>
            <w:tcW w:type="dxa" w:w="215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Mutual NDA + verification started</w:t>
            </w:r>
          </w:p>
        </w:tc>
        <w:tc>
          <w:tcPr>
            <w:tcW w:type="dxa" w:w="3024"/>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After the first meeting, for engaged prospects doing diligence.</w:t>
            </w:r>
          </w:p>
        </w:tc>
      </w:tr>
      <w:tr>
        <w:trPr>
          <w:tblHeader w:val="false"/>
        </w:trPr>
        <w:tc>
          <w:tcPr>
            <w:tcW w:type="dxa" w:w="150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3 · Offering</w:t>
            </w:r>
          </w:p>
        </w:tc>
        <w:tc>
          <w:tcPr>
            <w:tcW w:type="dxa" w:w="355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PPM, subscription agreement, operating agreement, accreditation pack, wiring</w:t>
            </w:r>
          </w:p>
        </w:tc>
        <w:tc>
          <w:tcPr>
            <w:tcW w:type="dxa" w:w="215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NDA + accreditation verified</w:t>
            </w:r>
          </w:p>
        </w:tc>
        <w:tc>
          <w:tcPr>
            <w:tcW w:type="dxa" w:w="3024"/>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Only to verified-accredited investors moving to subscribe. Routed by Bond Conway.</w:t>
            </w:r>
          </w:p>
        </w:tc>
      </w:tr>
    </w:tbl>
    <w:p>
      <w:pPr>
        <w:spacing w:after="90" w:before="40" w:line="268"/>
      </w:pPr>
      <w:r>
        <w:rPr>
          <w:rFonts w:ascii="Arial" w:cs="Arial" w:eastAsia="Arial" w:hAnsi="Arial"/>
          <w:b/>
          <w:bCs/>
          <w:i w:val="false"/>
          <w:iCs w:val="false"/>
          <w:caps w:val="false"/>
          <w:color w:val="2E2E2E"/>
          <w:sz w:val="20"/>
          <w:szCs w:val="20"/>
        </w:rPr>
        <w:t xml:space="preserve">Use the pitch deck in the meeting — </w:t>
      </w:r>
      <w:r>
        <w:rPr>
          <w:rFonts w:ascii="Arial" w:cs="Arial" w:eastAsia="Arial" w:hAnsi="Arial"/>
          <w:b w:val="false"/>
          <w:bCs w:val="false"/>
          <w:i w:val="false"/>
          <w:iCs w:val="false"/>
          <w:caps w:val="false"/>
          <w:color w:val="2E2E2E"/>
          <w:sz w:val="20"/>
          <w:szCs w:val="20"/>
        </w:rPr>
        <w:t xml:space="preserve">but as an aid, not a script. Keep two versions: a </w:t>
      </w:r>
      <w:r>
        <w:rPr>
          <w:rFonts w:ascii="Arial" w:cs="Arial" w:eastAsia="Arial" w:hAnsi="Arial"/>
          <w:b/>
          <w:bCs/>
          <w:i w:val="false"/>
          <w:iCs w:val="false"/>
          <w:caps w:val="false"/>
          <w:color w:val="2E2E2E"/>
          <w:sz w:val="20"/>
          <w:szCs w:val="20"/>
        </w:rPr>
        <w:t xml:space="preserve">reading deck</w:t>
      </w:r>
      <w:r>
        <w:rPr>
          <w:rFonts w:ascii="Arial" w:cs="Arial" w:eastAsia="Arial" w:hAnsi="Arial"/>
          <w:b w:val="false"/>
          <w:bCs w:val="false"/>
          <w:i w:val="false"/>
          <w:iCs w:val="false"/>
          <w:caps w:val="false"/>
          <w:color w:val="2E2E2E"/>
          <w:sz w:val="20"/>
          <w:szCs w:val="20"/>
        </w:rPr>
        <w:t xml:space="preserve"> (stands alone, sent in advance / in the data room) and a </w:t>
      </w:r>
      <w:r>
        <w:rPr>
          <w:rFonts w:ascii="Arial" w:cs="Arial" w:eastAsia="Arial" w:hAnsi="Arial"/>
          <w:b/>
          <w:bCs/>
          <w:i w:val="false"/>
          <w:iCs w:val="false"/>
          <w:caps w:val="false"/>
          <w:color w:val="2E2E2E"/>
          <w:sz w:val="20"/>
          <w:szCs w:val="20"/>
        </w:rPr>
        <w:t xml:space="preserve">presentation deck</w:t>
      </w:r>
      <w:r>
        <w:rPr>
          <w:rFonts w:ascii="Arial" w:cs="Arial" w:eastAsia="Arial" w:hAnsi="Arial"/>
          <w:b w:val="false"/>
          <w:bCs w:val="false"/>
          <w:i w:val="false"/>
          <w:iCs w:val="false"/>
          <w:caps w:val="false"/>
          <w:color w:val="2E2E2E"/>
          <w:sz w:val="20"/>
          <w:szCs w:val="20"/>
        </w:rPr>
        <w:t xml:space="preserve"> (lighter, supports the conversation). Do not walk slide-by-slide; pull up the one or two slides that answer the moment — usually traction, the numbers, or the exit math.</w:t>
      </w:r>
    </w:p>
    <w:p>
      <w:pPr>
        <w:shd w:fill="2E2E2E" w:val="clear"/>
        <w:spacing w:after="120" w:before="220"/>
      </w:pPr>
      <w:r>
        <w:rPr>
          <w:rFonts w:ascii="Arial" w:cs="Arial" w:eastAsia="Arial" w:hAnsi="Arial"/>
          <w:b/>
          <w:bCs/>
          <w:i w:val="false"/>
          <w:iCs w:val="false"/>
          <w:caps/>
          <w:color w:val="FFFFFF"/>
          <w:spacing w:val="16"/>
          <w:sz w:val="22"/>
          <w:szCs w:val="22"/>
        </w:rPr>
        <w:t xml:space="preserve">  3 · NDA &amp; Legal Protections — What to Use Instead of a Non-Compete</w:t>
      </w:r>
    </w:p>
    <w:p>
      <w:pPr>
        <w:spacing w:after="90" w:before="40" w:line="268"/>
      </w:pPr>
      <w:r>
        <w:rPr>
          <w:rFonts w:ascii="Arial" w:cs="Arial" w:eastAsia="Arial" w:hAnsi="Arial"/>
          <w:b w:val="false"/>
          <w:bCs w:val="false"/>
          <w:i w:val="false"/>
          <w:iCs w:val="false"/>
          <w:caps w:val="false"/>
          <w:color w:val="2E2E2E"/>
          <w:sz w:val="20"/>
          <w:szCs w:val="20"/>
        </w:rPr>
        <w:t xml:space="preserve">Use a mutual NDA to open the data room. Do not ask passive investors to sign a non-compete — it is unusual for financial investors, reads as distrust, is hard to enforce, and is exactly the kind of term that makes sophisticated capital walk. Protect the deal with narrower, standard clauses instead:</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Confidentiality (NDA): </w:t>
      </w:r>
      <w:r>
        <w:rPr>
          <w:rFonts w:ascii="Arial" w:cs="Arial" w:eastAsia="Arial" w:hAnsi="Arial"/>
          <w:b w:val="false"/>
          <w:bCs w:val="false"/>
          <w:i w:val="false"/>
          <w:iCs w:val="false"/>
          <w:caps w:val="false"/>
          <w:color w:val="2E2E2E"/>
          <w:sz w:val="20"/>
          <w:szCs w:val="20"/>
        </w:rPr>
        <w:t xml:space="preserve">mutual, time-limited, covering the model, designs, contracts and IP — the Tier-2/3 materials only.</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Non-circumvention: </w:t>
      </w:r>
      <w:r>
        <w:rPr>
          <w:rFonts w:ascii="Arial" w:cs="Arial" w:eastAsia="Arial" w:hAnsi="Arial"/>
          <w:b w:val="false"/>
          <w:bCs w:val="false"/>
          <w:i w:val="false"/>
          <w:iCs w:val="false"/>
          <w:caps w:val="false"/>
          <w:color w:val="2E2E2E"/>
          <w:sz w:val="20"/>
          <w:szCs w:val="20"/>
        </w:rPr>
        <w:t xml:space="preserve">they won’t go around the Fund directly to the landowner, Huxham, lenders or partners to replicate the deal.</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Non-solicitation: </w:t>
      </w:r>
      <w:r>
        <w:rPr>
          <w:rFonts w:ascii="Arial" w:cs="Arial" w:eastAsia="Arial" w:hAnsi="Arial"/>
          <w:b w:val="false"/>
          <w:bCs w:val="false"/>
          <w:i w:val="false"/>
          <w:iCs w:val="false"/>
          <w:caps w:val="false"/>
          <w:color w:val="2E2E2E"/>
          <w:sz w:val="20"/>
          <w:szCs w:val="20"/>
        </w:rPr>
        <w:t xml:space="preserve">they won’t poach the team or named partners for a competing project.</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Strategic investors only: </w:t>
      </w:r>
      <w:r>
        <w:rPr>
          <w:rFonts w:ascii="Arial" w:cs="Arial" w:eastAsia="Arial" w:hAnsi="Arial"/>
          <w:b w:val="false"/>
          <w:bCs w:val="false"/>
          <w:i w:val="false"/>
          <w:iCs w:val="false"/>
          <w:caps w:val="false"/>
          <w:color w:val="2E2E2E"/>
          <w:sz w:val="20"/>
          <w:szCs w:val="20"/>
        </w:rPr>
        <w:t xml:space="preserve">where the prospect is itself an operator/potential competitor (e.g., a golf-entertainment group), Bond Conway can add specific IP-use limits or a standstill — deal-by-deal, not a blanket non-compete.</w:t>
      </w:r>
    </w:p>
    <w:p>
      <w:pPr>
        <w:spacing w:after="90" w:before="40" w:line="268"/>
      </w:pPr>
      <w:r>
        <w:rPr>
          <w:rFonts w:ascii="Arial" w:cs="Arial" w:eastAsia="Arial" w:hAnsi="Arial"/>
          <w:b/>
          <w:bCs/>
          <w:i w:val="false"/>
          <w:iCs w:val="false"/>
          <w:caps w:val="false"/>
          <w:color w:val="2E2E2E"/>
          <w:sz w:val="20"/>
          <w:szCs w:val="20"/>
        </w:rPr>
        <w:t xml:space="preserve">Route all of this through Bond Conway. </w:t>
      </w:r>
      <w:r>
        <w:rPr>
          <w:rFonts w:ascii="Arial" w:cs="Arial" w:eastAsia="Arial" w:hAnsi="Arial"/>
          <w:b w:val="false"/>
          <w:bCs w:val="false"/>
          <w:i w:val="false"/>
          <w:iCs w:val="false"/>
          <w:caps w:val="false"/>
          <w:color w:val="2E2E2E"/>
          <w:sz w:val="20"/>
          <w:szCs w:val="20"/>
        </w:rPr>
        <w:t xml:space="preserve">Even under 506(c), every outward-facing document remains subject to anti-fraud rules and the Investment Advisers Act marketing rule — so the NDA template, the tiered access, and any standstill language get counsel sign-off before use.</w:t>
      </w:r>
    </w:p>
    <w:p>
      <w:pPr>
        <w:shd w:fill="2E2E2E" w:val="clear"/>
        <w:spacing w:after="120" w:before="220"/>
      </w:pPr>
      <w:r>
        <w:rPr>
          <w:rFonts w:ascii="Arial" w:cs="Arial" w:eastAsia="Arial" w:hAnsi="Arial"/>
          <w:b/>
          <w:bCs/>
          <w:i w:val="false"/>
          <w:iCs w:val="false"/>
          <w:caps/>
          <w:color w:val="FFFFFF"/>
          <w:spacing w:val="16"/>
          <w:sz w:val="22"/>
          <w:szCs w:val="22"/>
        </w:rPr>
        <w:t xml:space="preserve">  4 · How We Bring In More Investors</w:t>
      </w:r>
    </w:p>
    <w:p>
      <w:pPr>
        <w:spacing w:after="50" w:before="140"/>
      </w:pPr>
      <w:r>
        <w:rPr>
          <w:rFonts w:ascii="Arial" w:cs="Arial" w:eastAsia="Arial" w:hAnsi="Arial"/>
          <w:b/>
          <w:bCs/>
          <w:i w:val="false"/>
          <w:iCs w:val="false"/>
          <w:caps w:val="false"/>
          <w:color w:val="1F2A44"/>
          <w:sz w:val="23"/>
          <w:szCs w:val="23"/>
        </w:rPr>
        <w:t xml:space="preserve">The anchor-led funnel</w:t>
      </w:r>
    </w:p>
    <w:p>
      <w:pPr>
        <w:spacing w:after="90" w:before="40" w:line="268"/>
      </w:pPr>
      <w:r>
        <w:rPr>
          <w:rFonts w:ascii="Arial" w:cs="Arial" w:eastAsia="Arial" w:hAnsi="Arial"/>
          <w:b w:val="false"/>
          <w:bCs w:val="false"/>
          <w:i w:val="false"/>
          <w:iCs w:val="false"/>
          <w:caps w:val="false"/>
          <w:color w:val="2E2E2E"/>
          <w:sz w:val="20"/>
          <w:szCs w:val="20"/>
        </w:rPr>
        <w:t xml:space="preserve">Lead with the Anchor Strategy: land one or two anchor investors (a strategic golf operator, a sports/rec PE sponsor, a Chicago family office, or a celebrity-led vehicle) before widening the round. An anchor de-risks the raise for everyone behind them and gives the follow-on conversations social proof. Everything else feeds that goal.</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Widen the top of funnel with 506(c): </w:t>
      </w:r>
      <w:r>
        <w:rPr>
          <w:rFonts w:ascii="Arial" w:cs="Arial" w:eastAsia="Arial" w:hAnsi="Arial"/>
          <w:b w:val="false"/>
          <w:bCs w:val="false"/>
          <w:i w:val="false"/>
          <w:iCs w:val="false"/>
          <w:caps w:val="false"/>
          <w:color w:val="2E2E2E"/>
          <w:sz w:val="20"/>
          <w:szCs w:val="20"/>
        </w:rPr>
        <w:t xml:space="preserve">the landing page, GOLFChicago ads and warm-intro sourcing are now permitted solicitation — use them to fill a 45–60 day sprint, with every purchaser verified accredited.</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Lead with traction as diligence assets: </w:t>
      </w:r>
      <w:r>
        <w:rPr>
          <w:rFonts w:ascii="Arial" w:cs="Arial" w:eastAsia="Arial" w:hAnsi="Arial"/>
          <w:b w:val="false"/>
          <w:bCs w:val="false"/>
          <w:i w:val="false"/>
          <w:iCs w:val="false"/>
          <w:caps w:val="false"/>
          <w:color w:val="2E2E2E"/>
          <w:sz w:val="20"/>
          <w:szCs w:val="20"/>
        </w:rPr>
        <w:t xml:space="preserve">LOIs, pre-sold naming rights, school/college MOUs and founder-member deposits are the proof that converts skeptics — surface them early, in the meeting and the data room.</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Use the data room’s view-tracking as a heat map: </w:t>
      </w:r>
      <w:r>
        <w:rPr>
          <w:rFonts w:ascii="Arial" w:cs="Arial" w:eastAsia="Arial" w:hAnsi="Arial"/>
          <w:b w:val="false"/>
          <w:bCs w:val="false"/>
          <w:i w:val="false"/>
          <w:iCs w:val="false"/>
          <w:caps w:val="false"/>
          <w:color w:val="2E2E2E"/>
          <w:sz w:val="20"/>
          <w:szCs w:val="20"/>
        </w:rPr>
        <w:t xml:space="preserve">who opened what, for how long, and whether they forwarded it — feed that signal back into Capitalyst Pro to prioritize follow-up.</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Report momentum: </w:t>
      </w:r>
      <w:r>
        <w:rPr>
          <w:rFonts w:ascii="Arial" w:cs="Arial" w:eastAsia="Arial" w:hAnsi="Arial"/>
          <w:b w:val="false"/>
          <w:bCs w:val="false"/>
          <w:i w:val="false"/>
          <w:iCs w:val="false"/>
          <w:caps w:val="false"/>
          <w:color w:val="2E2E2E"/>
          <w:sz w:val="20"/>
          <w:szCs w:val="20"/>
        </w:rPr>
        <w:t xml:space="preserve">every follow-up notes progress (“X% committed,” “anchor secured”). Momentum compounds.</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Single point of contact: </w:t>
      </w:r>
      <w:r>
        <w:rPr>
          <w:rFonts w:ascii="Arial" w:cs="Arial" w:eastAsia="Arial" w:hAnsi="Arial"/>
          <w:b w:val="false"/>
          <w:bCs w:val="false"/>
          <w:i w:val="false"/>
          <w:iCs w:val="false"/>
          <w:caps w:val="false"/>
          <w:color w:val="2E2E2E"/>
          <w:sz w:val="20"/>
          <w:szCs w:val="20"/>
        </w:rPr>
        <w:t xml:space="preserve">you (Nick) own the relationship and the process end-to-end — a clean, organized funnel is itself a selling point.</w:t>
      </w:r>
    </w:p>
    <w:p>
      <w:pPr>
        <w:spacing w:after="50" w:before="140"/>
      </w:pPr>
      <w:r>
        <w:rPr>
          <w:rFonts w:ascii="Arial" w:cs="Arial" w:eastAsia="Arial" w:hAnsi="Arial"/>
          <w:b/>
          <w:bCs/>
          <w:i w:val="false"/>
          <w:iCs w:val="false"/>
          <w:caps w:val="false"/>
          <w:color w:val="1F2A44"/>
          <w:sz w:val="23"/>
          <w:szCs w:val="23"/>
        </w:rPr>
        <w:t xml:space="preserve">One lever worth deciding now: the individual minimum</w:t>
      </w:r>
    </w:p>
    <w:p>
      <w:pPr>
        <w:spacing w:after="90" w:before="40" w:line="268"/>
      </w:pPr>
      <w:r>
        <w:rPr>
          <w:rFonts w:ascii="Arial" w:cs="Arial" w:eastAsia="Arial" w:hAnsi="Arial"/>
          <w:b w:val="false"/>
          <w:bCs w:val="false"/>
          <w:i w:val="false"/>
          <w:iCs w:val="false"/>
          <w:caps w:val="false"/>
          <w:color w:val="2E2E2E"/>
          <w:sz w:val="20"/>
          <w:szCs w:val="20"/>
        </w:rPr>
        <w:t xml:space="preserve">The March 2025 SEC no-action letter lets us verify accreditation by </w:t>
      </w:r>
      <w:r>
        <w:rPr>
          <w:rFonts w:ascii="Arial" w:cs="Arial" w:eastAsia="Arial" w:hAnsi="Arial"/>
          <w:b/>
          <w:bCs/>
          <w:i w:val="false"/>
          <w:iCs w:val="false"/>
          <w:caps w:val="false"/>
          <w:color w:val="2E2E2E"/>
          <w:sz w:val="20"/>
          <w:szCs w:val="20"/>
        </w:rPr>
        <w:t xml:space="preserve">minimum investment size</w:t>
      </w:r>
      <w:r>
        <w:rPr>
          <w:rFonts w:ascii="Arial" w:cs="Arial" w:eastAsia="Arial" w:hAnsi="Arial"/>
          <w:b w:val="false"/>
          <w:bCs w:val="false"/>
          <w:i w:val="false"/>
          <w:iCs w:val="false"/>
          <w:caps w:val="false"/>
          <w:color w:val="2E2E2E"/>
          <w:sz w:val="20"/>
          <w:szCs w:val="20"/>
        </w:rPr>
        <w:t xml:space="preserve"> — $200K for individuals, $1M for entities — instead of collecting tax returns and bank statements. Our current $100K individual minimum sits </w:t>
      </w:r>
      <w:r>
        <w:rPr>
          <w:rFonts w:ascii="Arial" w:cs="Arial" w:eastAsia="Arial" w:hAnsi="Arial"/>
          <w:b/>
          <w:bCs/>
          <w:i w:val="false"/>
          <w:iCs w:val="false"/>
          <w:caps w:val="false"/>
          <w:color w:val="2E2E2E"/>
          <w:sz w:val="20"/>
          <w:szCs w:val="20"/>
        </w:rPr>
        <w:t xml:space="preserve">below</w:t>
      </w:r>
      <w:r>
        <w:rPr>
          <w:rFonts w:ascii="Arial" w:cs="Arial" w:eastAsia="Arial" w:hAnsi="Arial"/>
          <w:b w:val="false"/>
          <w:bCs w:val="false"/>
          <w:i w:val="false"/>
          <w:iCs w:val="false"/>
          <w:caps w:val="false"/>
          <w:color w:val="2E2E2E"/>
          <w:sz w:val="20"/>
          <w:szCs w:val="20"/>
        </w:rPr>
        <w:t xml:space="preserve"> that line, so sub-$200K investors require document-based verification (more friction, more drop-off). Raising the individual minimum to $200K unlocks the lighter self-certification path; the trade-off is a smaller pool of eligible individuals. This is a deliberate decision — take it to Bond Conway before the next wave of outreach.</w:t>
      </w:r>
    </w:p>
    <w:p>
      <w:pPr>
        <w:shd w:fill="2E2E2E" w:val="clear"/>
        <w:spacing w:after="120" w:before="220"/>
      </w:pPr>
      <w:r>
        <w:rPr>
          <w:rFonts w:ascii="Arial" w:cs="Arial" w:eastAsia="Arial" w:hAnsi="Arial"/>
          <w:b/>
          <w:bCs/>
          <w:i w:val="false"/>
          <w:iCs w:val="false"/>
          <w:caps/>
          <w:color w:val="FFFFFF"/>
          <w:spacing w:val="16"/>
          <w:sz w:val="22"/>
          <w:szCs w:val="22"/>
        </w:rPr>
        <w:t xml:space="preserve">  5 · Platform Stack &amp; the Data Room (where Capboard fits)</w:t>
      </w:r>
    </w:p>
    <w:p>
      <w:pPr>
        <w:spacing w:after="90" w:before="40" w:line="268"/>
      </w:pPr>
      <w:r>
        <w:rPr>
          <w:rFonts w:ascii="Arial" w:cs="Arial" w:eastAsia="Arial" w:hAnsi="Arial"/>
          <w:b w:val="false"/>
          <w:bCs w:val="false"/>
          <w:i w:val="false"/>
          <w:iCs w:val="false"/>
          <w:caps w:val="false"/>
          <w:color w:val="2E2E2E"/>
          <w:sz w:val="20"/>
          <w:szCs w:val="20"/>
        </w:rPr>
        <w:t xml:space="preserve">Capboard.io earns a place — but as the investor-facing layer, not a second cap table running in parallel. Its strengths map cleanly onto what we need after the NDA: a virtual data room with granular, per-group permissions, password protection and view-tracking; an investor portal for ownership visibility and quarterly reporting; e-signature; and scenario/valuation modeling that supports preferred share classes, liquidation preference and voting rights.</w:t>
      </w:r>
    </w:p>
    <w:tbl>
      <w:tblPr>
        <w:tblW w:type="dxa" w:w="10224"/>
        <w:tblBorders>
          <w:top w:val="single" w:color="D8D2C4" w:sz="1"/>
          <w:left w:val="single" w:color="D8D2C4" w:sz="1"/>
          <w:bottom w:val="single" w:color="D8D2C4" w:sz="1"/>
          <w:right w:val="single" w:color="D8D2C4" w:sz="1"/>
          <w:insideH w:val="single" w:color="D8D2C4" w:sz="1"/>
          <w:insideV w:val="single" w:color="D8D2C4" w:sz="1"/>
        </w:tblBorders>
      </w:tblPr>
      <w:tblGrid>
        <w:gridCol w:w="3000"/>
        <w:gridCol w:w="3600"/>
        <w:gridCol w:w="3624"/>
      </w:tblGrid>
      <w:tr>
        <w:trPr>
          <w:tblHeader/>
        </w:trPr>
        <w:tc>
          <w:tcPr>
            <w:tcW w:type="dxa" w:w="3000"/>
            <w:shd w:fill="2E2E2E" w:val="clear"/>
            <w:tcMar>
              <w:top w:type="dxa" w:w="56"/>
              <w:left w:type="dxa" w:w="110"/>
              <w:bottom w:type="dxa" w:w="56"/>
              <w:right w:type="dxa" w:w="110"/>
            </w:tcMar>
            <w:vAlign w:val="top"/>
          </w:tcPr>
          <w:p>
            <w:pPr>
              <w:spacing w:after="0" w:before="0" w:line="248"/>
              <w:jc w:val="left"/>
            </w:pPr>
            <w:r>
              <w:rPr>
                <w:rFonts w:ascii="Arial" w:cs="Arial" w:eastAsia="Arial" w:hAnsi="Arial"/>
                <w:b/>
                <w:bCs/>
                <w:i w:val="false"/>
                <w:iCs w:val="false"/>
                <w:caps w:val="false"/>
                <w:color w:val="FFFFFF"/>
                <w:sz w:val="19"/>
                <w:szCs w:val="19"/>
              </w:rPr>
              <w:t xml:space="preserve">Layer</w:t>
            </w:r>
          </w:p>
        </w:tc>
        <w:tc>
          <w:tcPr>
            <w:tcW w:type="dxa" w:w="3600"/>
            <w:shd w:fill="2E2E2E" w:val="clear"/>
            <w:tcMar>
              <w:top w:type="dxa" w:w="56"/>
              <w:left w:type="dxa" w:w="110"/>
              <w:bottom w:type="dxa" w:w="56"/>
              <w:right w:type="dxa" w:w="110"/>
            </w:tcMar>
            <w:vAlign w:val="top"/>
          </w:tcPr>
          <w:p>
            <w:pPr>
              <w:spacing w:after="0" w:before="0" w:line="248"/>
              <w:jc w:val="left"/>
            </w:pPr>
            <w:r>
              <w:rPr>
                <w:rFonts w:ascii="Arial" w:cs="Arial" w:eastAsia="Arial" w:hAnsi="Arial"/>
                <w:b/>
                <w:bCs/>
                <w:i w:val="false"/>
                <w:iCs w:val="false"/>
                <w:caps w:val="false"/>
                <w:color w:val="FFFFFF"/>
                <w:sz w:val="19"/>
                <w:szCs w:val="19"/>
              </w:rPr>
              <w:t xml:space="preserve">Tool</w:t>
            </w:r>
          </w:p>
        </w:tc>
        <w:tc>
          <w:tcPr>
            <w:tcW w:type="dxa" w:w="3624"/>
            <w:shd w:fill="2E2E2E" w:val="clear"/>
            <w:tcMar>
              <w:top w:type="dxa" w:w="56"/>
              <w:left w:type="dxa" w:w="110"/>
              <w:bottom w:type="dxa" w:w="56"/>
              <w:right w:type="dxa" w:w="110"/>
            </w:tcMar>
            <w:vAlign w:val="top"/>
          </w:tcPr>
          <w:p>
            <w:pPr>
              <w:spacing w:after="0" w:before="0" w:line="248"/>
              <w:jc w:val="left"/>
            </w:pPr>
            <w:r>
              <w:rPr>
                <w:rFonts w:ascii="Arial" w:cs="Arial" w:eastAsia="Arial" w:hAnsi="Arial"/>
                <w:b/>
                <w:bCs/>
                <w:i w:val="false"/>
                <w:iCs w:val="false"/>
                <w:caps w:val="false"/>
                <w:color w:val="FFFFFF"/>
                <w:sz w:val="19"/>
                <w:szCs w:val="19"/>
              </w:rPr>
              <w:t xml:space="preserve">Role</w:t>
            </w:r>
          </w:p>
        </w:tc>
      </w:tr>
      <w:tr>
        <w:trPr>
          <w:tblHeader w:val="false"/>
        </w:trPr>
        <w:tc>
          <w:tcPr>
            <w:tcW w:type="dxa" w:w="300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Front funnel (leads → soft commit)</w:t>
            </w:r>
          </w:p>
        </w:tc>
        <w:tc>
          <w:tcPr>
            <w:tcW w:type="dxa" w:w="360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Capitalyst Pro</w:t>
            </w:r>
          </w:p>
        </w:tc>
        <w:tc>
          <w:tcPr>
            <w:tcW w:type="dxa" w:w="3624"/>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Website leads, event contacts, discovery-call scheduling, pipeline.</w:t>
            </w:r>
          </w:p>
        </w:tc>
      </w:tr>
      <w:tr>
        <w:trPr>
          <w:tblHeader w:val="false"/>
        </w:trPr>
        <w:tc>
          <w:tcPr>
            <w:tcW w:type="dxa" w:w="300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Data room + investor portal</w:t>
            </w:r>
          </w:p>
        </w:tc>
        <w:tc>
          <w:tcPr>
            <w:tcW w:type="dxa" w:w="360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Capboard.io</w:t>
            </w:r>
          </w:p>
        </w:tc>
        <w:tc>
          <w:tcPr>
            <w:tcW w:type="dxa" w:w="3624"/>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NDA-gated Tier-2/3 documents, view-tracking, e-sign, investor reporting.</w:t>
            </w:r>
          </w:p>
        </w:tc>
      </w:tr>
      <w:tr>
        <w:trPr>
          <w:tblHeader w:val="false"/>
        </w:trPr>
        <w:tc>
          <w:tcPr>
            <w:tcW w:type="dxa" w:w="300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Cap table (system of record)</w:t>
            </w:r>
          </w:p>
        </w:tc>
        <w:tc>
          <w:tcPr>
            <w:tcW w:type="dxa" w:w="360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Capboard.io or Carta — pick ONE</w:t>
            </w:r>
          </w:p>
        </w:tc>
        <w:tc>
          <w:tcPr>
            <w:tcW w:type="dxa" w:w="3624"/>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Post-close ownership ledger for the multi-class preferred LLC structure.</w:t>
            </w:r>
          </w:p>
        </w:tc>
      </w:tr>
    </w:tbl>
    <w:p>
      <w:pPr>
        <w:spacing w:after="90" w:before="40" w:line="268"/>
      </w:pPr>
      <w:r>
        <w:rPr>
          <w:rFonts w:ascii="Arial" w:cs="Arial" w:eastAsia="Arial" w:hAnsi="Arial"/>
          <w:b/>
          <w:bCs/>
          <w:i w:val="false"/>
          <w:iCs w:val="false"/>
          <w:caps w:val="false"/>
          <w:color w:val="2E2E2E"/>
          <w:sz w:val="20"/>
          <w:szCs w:val="20"/>
        </w:rPr>
        <w:t xml:space="preserve">The discipline that matters: one system of record for ownership. </w:t>
      </w:r>
      <w:r>
        <w:rPr>
          <w:rFonts w:ascii="Arial" w:cs="Arial" w:eastAsia="Arial" w:hAnsi="Arial"/>
          <w:b w:val="false"/>
          <w:bCs w:val="false"/>
          <w:i w:val="false"/>
          <w:iCs w:val="false"/>
          <w:caps w:val="false"/>
          <w:color w:val="2E2E2E"/>
          <w:sz w:val="20"/>
          <w:szCs w:val="20"/>
        </w:rPr>
        <w:t xml:space="preserve">Do not run a Carta cap table and a Capboard cap table at once — duplicate ledgers are how errors and disputes start. If Capboard cleanly models the Class A / Class B preferred / Membership / Outside structure and the ownership waterfall (Fund 25% / Membership 10% / Outside 12.5% / MEGALODOME GOLF USA 52.5%), it can consolidate the data room, portal and cap table into one investor-facing platform, and the funnel handoff becomes Capitalyst → Capboard. Two cautions: (1) confirm it supports LLC </w:t>
      </w:r>
      <w:r>
        <w:rPr>
          <w:rFonts w:ascii="Arial" w:cs="Arial" w:eastAsia="Arial" w:hAnsi="Arial"/>
          <w:b/>
          <w:bCs/>
          <w:i w:val="false"/>
          <w:iCs w:val="false"/>
          <w:caps w:val="false"/>
          <w:color w:val="2E2E2E"/>
          <w:sz w:val="20"/>
          <w:szCs w:val="20"/>
        </w:rPr>
        <w:t xml:space="preserve">membership units</w:t>
      </w:r>
      <w:r>
        <w:rPr>
          <w:rFonts w:ascii="Arial" w:cs="Arial" w:eastAsia="Arial" w:hAnsi="Arial"/>
          <w:b w:val="false"/>
          <w:bCs w:val="false"/>
          <w:i w:val="false"/>
          <w:iCs w:val="false"/>
          <w:caps w:val="false"/>
          <w:color w:val="2E2E2E"/>
          <w:sz w:val="20"/>
          <w:szCs w:val="20"/>
        </w:rPr>
        <w:t xml:space="preserve"> (not just C-corp shares) — ignore its startup modules (409A, ESOP, SAFEs, QSBS), which don’t apply to us; (2) any cap-table economics or share-class setup is a securities matter — Bond Conway signs off before it goes live.</w:t>
      </w:r>
    </w:p>
    <w:p>
      <w:pPr>
        <w:shd w:fill="2E2E2E" w:val="clear"/>
        <w:spacing w:after="120" w:before="220"/>
      </w:pPr>
      <w:r>
        <w:rPr>
          <w:rFonts w:ascii="Arial" w:cs="Arial" w:eastAsia="Arial" w:hAnsi="Arial"/>
          <w:b/>
          <w:bCs/>
          <w:i w:val="false"/>
          <w:iCs w:val="false"/>
          <w:caps/>
          <w:color w:val="FFFFFF"/>
          <w:spacing w:val="16"/>
          <w:sz w:val="22"/>
          <w:szCs w:val="22"/>
        </w:rPr>
        <w:t xml:space="preserve">  6 · Meeting Architecture — Four Stages</w:t>
      </w:r>
    </w:p>
    <w:tbl>
      <w:tblPr>
        <w:tblW w:type="dxa" w:w="10224"/>
        <w:tblBorders>
          <w:top w:val="single" w:color="D8D2C4" w:sz="1"/>
          <w:left w:val="single" w:color="D8D2C4" w:sz="1"/>
          <w:bottom w:val="single" w:color="D8D2C4" w:sz="1"/>
          <w:right w:val="single" w:color="D8D2C4" w:sz="1"/>
          <w:insideH w:val="single" w:color="D8D2C4" w:sz="1"/>
          <w:insideV w:val="single" w:color="D8D2C4" w:sz="1"/>
        </w:tblBorders>
      </w:tblPr>
      <w:tblGrid>
        <w:gridCol w:w="1900"/>
        <w:gridCol w:w="2100"/>
        <w:gridCol w:w="4224"/>
        <w:gridCol w:w="2000"/>
      </w:tblGrid>
      <w:tr>
        <w:trPr>
          <w:tblHeader/>
        </w:trPr>
        <w:tc>
          <w:tcPr>
            <w:tcW w:type="dxa" w:w="1900"/>
            <w:shd w:fill="2E2E2E" w:val="clear"/>
            <w:tcMar>
              <w:top w:type="dxa" w:w="56"/>
              <w:left w:type="dxa" w:w="110"/>
              <w:bottom w:type="dxa" w:w="56"/>
              <w:right w:type="dxa" w:w="110"/>
            </w:tcMar>
            <w:vAlign w:val="top"/>
          </w:tcPr>
          <w:p>
            <w:pPr>
              <w:spacing w:after="0" w:before="0" w:line="248"/>
              <w:jc w:val="left"/>
            </w:pPr>
            <w:r>
              <w:rPr>
                <w:rFonts w:ascii="Arial" w:cs="Arial" w:eastAsia="Arial" w:hAnsi="Arial"/>
                <w:b/>
                <w:bCs/>
                <w:i w:val="false"/>
                <w:iCs w:val="false"/>
                <w:caps w:val="false"/>
                <w:color w:val="FFFFFF"/>
                <w:sz w:val="19"/>
                <w:szCs w:val="19"/>
              </w:rPr>
              <w:t xml:space="preserve">Stage</w:t>
            </w:r>
          </w:p>
        </w:tc>
        <w:tc>
          <w:tcPr>
            <w:tcW w:type="dxa" w:w="2100"/>
            <w:shd w:fill="2E2E2E" w:val="clear"/>
            <w:tcMar>
              <w:top w:type="dxa" w:w="56"/>
              <w:left w:type="dxa" w:w="110"/>
              <w:bottom w:type="dxa" w:w="56"/>
              <w:right w:type="dxa" w:w="110"/>
            </w:tcMar>
            <w:vAlign w:val="top"/>
          </w:tcPr>
          <w:p>
            <w:pPr>
              <w:spacing w:after="0" w:before="0" w:line="248"/>
              <w:jc w:val="left"/>
            </w:pPr>
            <w:r>
              <w:rPr>
                <w:rFonts w:ascii="Arial" w:cs="Arial" w:eastAsia="Arial" w:hAnsi="Arial"/>
                <w:b/>
                <w:bCs/>
                <w:i w:val="false"/>
                <w:iCs w:val="false"/>
                <w:caps w:val="false"/>
                <w:color w:val="FFFFFF"/>
                <w:sz w:val="19"/>
                <w:szCs w:val="19"/>
              </w:rPr>
              <w:t xml:space="preserve">Format</w:t>
            </w:r>
          </w:p>
        </w:tc>
        <w:tc>
          <w:tcPr>
            <w:tcW w:type="dxa" w:w="4224"/>
            <w:shd w:fill="2E2E2E" w:val="clear"/>
            <w:tcMar>
              <w:top w:type="dxa" w:w="56"/>
              <w:left w:type="dxa" w:w="110"/>
              <w:bottom w:type="dxa" w:w="56"/>
              <w:right w:type="dxa" w:w="110"/>
            </w:tcMar>
            <w:vAlign w:val="top"/>
          </w:tcPr>
          <w:p>
            <w:pPr>
              <w:spacing w:after="0" w:before="0" w:line="248"/>
              <w:jc w:val="left"/>
            </w:pPr>
            <w:r>
              <w:rPr>
                <w:rFonts w:ascii="Arial" w:cs="Arial" w:eastAsia="Arial" w:hAnsi="Arial"/>
                <w:b/>
                <w:bCs/>
                <w:i w:val="false"/>
                <w:iCs w:val="false"/>
                <w:caps w:val="false"/>
                <w:color w:val="FFFFFF"/>
                <w:sz w:val="19"/>
                <w:szCs w:val="19"/>
              </w:rPr>
              <w:t xml:space="preserve">Goal</w:t>
            </w:r>
          </w:p>
        </w:tc>
        <w:tc>
          <w:tcPr>
            <w:tcW w:type="dxa" w:w="2000"/>
            <w:shd w:fill="2E2E2E" w:val="clear"/>
            <w:tcMar>
              <w:top w:type="dxa" w:w="56"/>
              <w:left w:type="dxa" w:w="110"/>
              <w:bottom w:type="dxa" w:w="56"/>
              <w:right w:type="dxa" w:w="110"/>
            </w:tcMar>
            <w:vAlign w:val="top"/>
          </w:tcPr>
          <w:p>
            <w:pPr>
              <w:spacing w:after="0" w:before="0" w:line="248"/>
              <w:jc w:val="left"/>
            </w:pPr>
            <w:r>
              <w:rPr>
                <w:rFonts w:ascii="Arial" w:cs="Arial" w:eastAsia="Arial" w:hAnsi="Arial"/>
                <w:b/>
                <w:bCs/>
                <w:i w:val="false"/>
                <w:iCs w:val="false"/>
                <w:caps w:val="false"/>
                <w:color w:val="FFFFFF"/>
                <w:sz w:val="19"/>
                <w:szCs w:val="19"/>
              </w:rPr>
              <w:t xml:space="preserve">Who</w:t>
            </w:r>
          </w:p>
        </w:tc>
      </w:tr>
      <w:tr>
        <w:trPr>
          <w:tblHeader w:val="false"/>
        </w:trPr>
        <w:tc>
          <w:tcPr>
            <w:tcW w:type="dxa" w:w="190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1 · Discovery</w:t>
            </w:r>
          </w:p>
        </w:tc>
        <w:tc>
          <w:tcPr>
            <w:tcW w:type="dxa" w:w="210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20-min call (round robin)</w:t>
            </w:r>
          </w:p>
        </w:tc>
        <w:tc>
          <w:tcPr>
            <w:tcW w:type="dxa" w:w="4224"/>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Qualify fit, check size, timeline, accreditation; tease; book the formal meeting</w:t>
            </w:r>
          </w:p>
        </w:tc>
        <w:tc>
          <w:tcPr>
            <w:tcW w:type="dxa" w:w="200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Nick (or rotating team member)</w:t>
            </w:r>
          </w:p>
        </w:tc>
      </w:tr>
      <w:tr>
        <w:trPr>
          <w:tblHeader w:val="false"/>
        </w:trPr>
        <w:tc>
          <w:tcPr>
            <w:tcW w:type="dxa" w:w="190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2 · First meeting</w:t>
            </w:r>
          </w:p>
        </w:tc>
        <w:tc>
          <w:tcPr>
            <w:tcW w:type="dxa" w:w="210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45–60 min, in person if possible</w:t>
            </w:r>
          </w:p>
        </w:tc>
        <w:tc>
          <w:tcPr>
            <w:tcW w:type="dxa" w:w="4224"/>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Tell the story, show traction &amp; numbers, earn the diligence step</w:t>
            </w:r>
          </w:p>
        </w:tc>
        <w:tc>
          <w:tcPr>
            <w:tcW w:type="dxa" w:w="200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Nick + Bertrand + Annie</w:t>
            </w:r>
          </w:p>
        </w:tc>
      </w:tr>
      <w:tr>
        <w:trPr>
          <w:tblHeader w:val="false"/>
        </w:trPr>
        <w:tc>
          <w:tcPr>
            <w:tcW w:type="dxa" w:w="190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3 · Diligence</w:t>
            </w:r>
          </w:p>
        </w:tc>
        <w:tc>
          <w:tcPr>
            <w:tcW w:type="dxa" w:w="210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60–90 min + data room</w:t>
            </w:r>
          </w:p>
        </w:tc>
        <w:tc>
          <w:tcPr>
            <w:tcW w:type="dxa" w:w="4224"/>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Model walkthrough, site/design, answer the hard questions</w:t>
            </w:r>
          </w:p>
        </w:tc>
        <w:tc>
          <w:tcPr>
            <w:tcW w:type="dxa" w:w="200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Annie + Alain (+ Jules if technical)</w:t>
            </w:r>
          </w:p>
        </w:tc>
      </w:tr>
      <w:tr>
        <w:trPr>
          <w:tblHeader w:val="false"/>
        </w:trPr>
        <w:tc>
          <w:tcPr>
            <w:tcW w:type="dxa" w:w="190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4 · Subscription</w:t>
            </w:r>
          </w:p>
        </w:tc>
        <w:tc>
          <w:tcPr>
            <w:tcW w:type="dxa" w:w="210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Working session</w:t>
            </w:r>
          </w:p>
        </w:tc>
        <w:tc>
          <w:tcPr>
            <w:tcW w:type="dxa" w:w="4224"/>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Verify accreditation, execute PPM/sub docs, capital call</w:t>
            </w:r>
          </w:p>
        </w:tc>
        <w:tc>
          <w:tcPr>
            <w:tcW w:type="dxa" w:w="200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Nick + Bond Conway</w:t>
            </w:r>
          </w:p>
        </w:tc>
      </w:tr>
    </w:tbl>
    <w:p>
      <w:pPr>
        <w:spacing w:after="90" w:before="40" w:line="268"/>
      </w:pPr>
      <w:r>
        <w:rPr>
          <w:rFonts w:ascii="Arial" w:cs="Arial" w:eastAsia="Arial" w:hAnsi="Arial"/>
          <w:b/>
          <w:bCs/>
          <w:i w:val="false"/>
          <w:iCs w:val="false"/>
          <w:caps w:val="false"/>
          <w:color w:val="2E2E2E"/>
          <w:sz w:val="20"/>
          <w:szCs w:val="20"/>
        </w:rPr>
        <w:t xml:space="preserve">In-person beats video, and morning beats afternoon. </w:t>
      </w:r>
      <w:r>
        <w:rPr>
          <w:rFonts w:ascii="Arial" w:cs="Arial" w:eastAsia="Arial" w:hAnsi="Arial"/>
          <w:b w:val="false"/>
          <w:bCs w:val="false"/>
          <w:i w:val="false"/>
          <w:iCs w:val="false"/>
          <w:caps w:val="false"/>
          <w:color w:val="2E2E2E"/>
          <w:sz w:val="20"/>
          <w:szCs w:val="20"/>
        </w:rPr>
        <w:t xml:space="preserve">Energy and attention peak in the first hour of the workday; avoid the post-lunch and end-of-day slots.</w:t>
      </w:r>
    </w:p>
    <w:p>
      <w:pPr>
        <w:shd w:fill="2E2E2E" w:val="clear"/>
        <w:spacing w:after="120" w:before="220"/>
      </w:pPr>
      <w:r>
        <w:rPr>
          <w:rFonts w:ascii="Arial" w:cs="Arial" w:eastAsia="Arial" w:hAnsi="Arial"/>
          <w:b/>
          <w:bCs/>
          <w:i w:val="false"/>
          <w:iCs w:val="false"/>
          <w:caps/>
          <w:color w:val="FFFFFF"/>
          <w:spacing w:val="16"/>
          <w:sz w:val="22"/>
          <w:szCs w:val="22"/>
        </w:rPr>
        <w:t xml:space="preserve">  7 · The First Meeting — Minute-by-Minute &amp; Who Says What</w:t>
      </w:r>
    </w:p>
    <w:p>
      <w:pPr>
        <w:spacing w:after="90" w:before="40" w:line="268"/>
      </w:pPr>
      <w:r>
        <w:rPr>
          <w:rFonts w:ascii="Arial" w:cs="Arial" w:eastAsia="Arial" w:hAnsi="Arial"/>
          <w:b w:val="false"/>
          <w:bCs w:val="false"/>
          <w:i w:val="false"/>
          <w:iCs w:val="false"/>
          <w:caps w:val="false"/>
          <w:color w:val="2E2E2E"/>
          <w:sz w:val="20"/>
          <w:szCs w:val="20"/>
        </w:rPr>
        <w:t xml:space="preserve">A 50-minute template. Nick quarterbacks throughout — opening, transitions, time, and the close. Each owner gets a tight window; nobody runs long. “Microframe” every handoff: a one-line preview of what’s next so the room always knows where it is.</w:t>
      </w:r>
    </w:p>
    <w:tbl>
      <w:tblPr>
        <w:tblW w:type="dxa" w:w="10124"/>
        <w:tblBorders>
          <w:top w:val="single" w:color="D8D2C4" w:sz="1"/>
          <w:left w:val="single" w:color="D8D2C4" w:sz="1"/>
          <w:bottom w:val="single" w:color="D8D2C4" w:sz="1"/>
          <w:right w:val="single" w:color="D8D2C4" w:sz="1"/>
          <w:insideH w:val="single" w:color="D8D2C4" w:sz="1"/>
          <w:insideV w:val="single" w:color="D8D2C4" w:sz="1"/>
        </w:tblBorders>
      </w:tblPr>
      <w:tblGrid>
        <w:gridCol w:w="1150"/>
        <w:gridCol w:w="2900"/>
        <w:gridCol w:w="3450"/>
        <w:gridCol w:w="2624"/>
      </w:tblGrid>
      <w:tr>
        <w:trPr>
          <w:tblHeader/>
        </w:trPr>
        <w:tc>
          <w:tcPr>
            <w:tcW w:type="dxa" w:w="1150"/>
            <w:shd w:fill="2E2E2E" w:val="clear"/>
            <w:tcMar>
              <w:top w:type="dxa" w:w="56"/>
              <w:left w:type="dxa" w:w="110"/>
              <w:bottom w:type="dxa" w:w="56"/>
              <w:right w:type="dxa" w:w="110"/>
            </w:tcMar>
            <w:vAlign w:val="top"/>
          </w:tcPr>
          <w:p>
            <w:pPr>
              <w:spacing w:after="0" w:before="0" w:line="248"/>
              <w:jc w:val="left"/>
            </w:pPr>
            <w:r>
              <w:rPr>
                <w:rFonts w:ascii="Arial" w:cs="Arial" w:eastAsia="Arial" w:hAnsi="Arial"/>
                <w:b/>
                <w:bCs/>
                <w:i w:val="false"/>
                <w:iCs w:val="false"/>
                <w:caps w:val="false"/>
                <w:color w:val="FFFFFF"/>
                <w:sz w:val="19"/>
                <w:szCs w:val="19"/>
              </w:rPr>
              <w:t xml:space="preserve">Time</w:t>
            </w:r>
          </w:p>
        </w:tc>
        <w:tc>
          <w:tcPr>
            <w:tcW w:type="dxa" w:w="2900"/>
            <w:shd w:fill="2E2E2E" w:val="clear"/>
            <w:tcMar>
              <w:top w:type="dxa" w:w="56"/>
              <w:left w:type="dxa" w:w="110"/>
              <w:bottom w:type="dxa" w:w="56"/>
              <w:right w:type="dxa" w:w="110"/>
            </w:tcMar>
            <w:vAlign w:val="top"/>
          </w:tcPr>
          <w:p>
            <w:pPr>
              <w:spacing w:after="0" w:before="0" w:line="248"/>
              <w:jc w:val="left"/>
            </w:pPr>
            <w:r>
              <w:rPr>
                <w:rFonts w:ascii="Arial" w:cs="Arial" w:eastAsia="Arial" w:hAnsi="Arial"/>
                <w:b/>
                <w:bCs/>
                <w:i w:val="false"/>
                <w:iCs w:val="false"/>
                <w:caps w:val="false"/>
                <w:color w:val="FFFFFF"/>
                <w:sz w:val="19"/>
                <w:szCs w:val="19"/>
              </w:rPr>
              <w:t xml:space="preserve">Segment</w:t>
            </w:r>
          </w:p>
        </w:tc>
        <w:tc>
          <w:tcPr>
            <w:tcW w:type="dxa" w:w="3450"/>
            <w:shd w:fill="2E2E2E" w:val="clear"/>
            <w:tcMar>
              <w:top w:type="dxa" w:w="56"/>
              <w:left w:type="dxa" w:w="110"/>
              <w:bottom w:type="dxa" w:w="56"/>
              <w:right w:type="dxa" w:w="110"/>
            </w:tcMar>
            <w:vAlign w:val="top"/>
          </w:tcPr>
          <w:p>
            <w:pPr>
              <w:spacing w:after="0" w:before="0" w:line="248"/>
              <w:jc w:val="left"/>
            </w:pPr>
            <w:r>
              <w:rPr>
                <w:rFonts w:ascii="Arial" w:cs="Arial" w:eastAsia="Arial" w:hAnsi="Arial"/>
                <w:b/>
                <w:bCs/>
                <w:i w:val="false"/>
                <w:iCs w:val="false"/>
                <w:caps w:val="false"/>
                <w:color w:val="FFFFFF"/>
                <w:sz w:val="19"/>
                <w:szCs w:val="19"/>
              </w:rPr>
              <w:t xml:space="preserve">What they cover</w:t>
            </w:r>
          </w:p>
        </w:tc>
        <w:tc>
          <w:tcPr>
            <w:tcW w:type="dxa" w:w="2624"/>
            <w:shd w:fill="2E2E2E" w:val="clear"/>
            <w:tcMar>
              <w:top w:type="dxa" w:w="56"/>
              <w:left w:type="dxa" w:w="110"/>
              <w:bottom w:type="dxa" w:w="56"/>
              <w:right w:type="dxa" w:w="110"/>
            </w:tcMar>
            <w:vAlign w:val="top"/>
          </w:tcPr>
          <w:p>
            <w:pPr>
              <w:spacing w:after="0" w:before="0" w:line="248"/>
              <w:jc w:val="left"/>
            </w:pPr>
            <w:r>
              <w:rPr>
                <w:rFonts w:ascii="Arial" w:cs="Arial" w:eastAsia="Arial" w:hAnsi="Arial"/>
                <w:b/>
                <w:bCs/>
                <w:i w:val="false"/>
                <w:iCs w:val="false"/>
                <w:caps w:val="false"/>
                <w:color w:val="FFFFFF"/>
                <w:sz w:val="19"/>
                <w:szCs w:val="19"/>
              </w:rPr>
              <w:t xml:space="preserve">Owner</w:t>
            </w:r>
          </w:p>
        </w:tc>
      </w:tr>
      <w:tr>
        <w:trPr>
          <w:tblHeader w:val="false"/>
        </w:trPr>
        <w:tc>
          <w:tcPr>
            <w:tcW w:type="dxa" w:w="115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0–5</w:t>
            </w:r>
          </w:p>
        </w:tc>
        <w:tc>
          <w:tcPr>
            <w:tcW w:type="dxa" w:w="290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Open &amp; qualify</w:t>
            </w:r>
          </w:p>
        </w:tc>
        <w:tc>
          <w:tcPr>
            <w:tcW w:type="dxa" w:w="345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Welcome, agenda, time-check; “tell us about you” — their mandate, check size, timeline</w:t>
            </w:r>
          </w:p>
        </w:tc>
        <w:tc>
          <w:tcPr>
            <w:tcW w:type="dxa" w:w="2624"/>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Nick</w:t>
            </w:r>
          </w:p>
        </w:tc>
      </w:tr>
      <w:tr>
        <w:trPr>
          <w:tblHeader w:val="false"/>
        </w:trPr>
        <w:tc>
          <w:tcPr>
            <w:tcW w:type="dxa" w:w="115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5–9</w:t>
            </w:r>
          </w:p>
        </w:tc>
        <w:tc>
          <w:tcPr>
            <w:tcW w:type="dxa" w:w="290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Founder story &amp; vision</w:t>
            </w:r>
          </w:p>
        </w:tc>
        <w:tc>
          <w:tcPr>
            <w:tcW w:type="dxa" w:w="345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Why this exists, why now, the category and the moat; conviction</w:t>
            </w:r>
          </w:p>
        </w:tc>
        <w:tc>
          <w:tcPr>
            <w:tcW w:type="dxa" w:w="2624"/>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Bertrand</w:t>
            </w:r>
          </w:p>
        </w:tc>
      </w:tr>
      <w:tr>
        <w:trPr>
          <w:tblHeader w:val="false"/>
        </w:trPr>
        <w:tc>
          <w:tcPr>
            <w:tcW w:type="dxa" w:w="115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9–15</w:t>
            </w:r>
          </w:p>
        </w:tc>
        <w:tc>
          <w:tcPr>
            <w:tcW w:type="dxa" w:w="290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Problem → shift → solution</w:t>
            </w:r>
          </w:p>
        </w:tc>
        <w:tc>
          <w:tcPr>
            <w:tcW w:type="dxa" w:w="345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Seasonal golf, the off-course shift, the real-course-indoors solution</w:t>
            </w:r>
          </w:p>
        </w:tc>
        <w:tc>
          <w:tcPr>
            <w:tcW w:type="dxa" w:w="2624"/>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Bertrand → Nick</w:t>
            </w:r>
          </w:p>
        </w:tc>
      </w:tr>
      <w:tr>
        <w:trPr>
          <w:tblHeader w:val="false"/>
        </w:trPr>
        <w:tc>
          <w:tcPr>
            <w:tcW w:type="dxa" w:w="115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15–22</w:t>
            </w:r>
          </w:p>
        </w:tc>
        <w:tc>
          <w:tcPr>
            <w:tcW w:type="dxa" w:w="290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Traction &amp; proof</w:t>
            </w:r>
          </w:p>
        </w:tc>
        <w:tc>
          <w:tcPr>
            <w:tcW w:type="dxa" w:w="345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LOIs, naming rights, school MOUs, founder-member deposits, approvals</w:t>
            </w:r>
          </w:p>
        </w:tc>
        <w:tc>
          <w:tcPr>
            <w:tcW w:type="dxa" w:w="2624"/>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Nick</w:t>
            </w:r>
          </w:p>
        </w:tc>
      </w:tr>
      <w:tr>
        <w:trPr>
          <w:tblHeader w:val="false"/>
        </w:trPr>
        <w:tc>
          <w:tcPr>
            <w:tcW w:type="dxa" w:w="115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22–32</w:t>
            </w:r>
          </w:p>
        </w:tc>
        <w:tc>
          <w:tcPr>
            <w:tcW w:type="dxa" w:w="290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The numbers</w:t>
            </w:r>
          </w:p>
        </w:tc>
        <w:tc>
          <w:tcPr>
            <w:tcW w:type="dxa" w:w="345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Capital stack, returns (19.7% / 2.35x), the waterfall, DSCR &amp; downside, exit math</w:t>
            </w:r>
          </w:p>
        </w:tc>
        <w:tc>
          <w:tcPr>
            <w:tcW w:type="dxa" w:w="2624"/>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Annie</w:t>
            </w:r>
          </w:p>
        </w:tc>
      </w:tr>
      <w:tr>
        <w:trPr>
          <w:tblHeader w:val="false"/>
        </w:trPr>
        <w:tc>
          <w:tcPr>
            <w:tcW w:type="dxa" w:w="115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32–36</w:t>
            </w:r>
          </w:p>
        </w:tc>
        <w:tc>
          <w:tcPr>
            <w:tcW w:type="dxa" w:w="290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Execution</w:t>
            </w:r>
          </w:p>
        </w:tc>
        <w:tc>
          <w:tcPr>
            <w:tcW w:type="dxa" w:w="345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Four-dome build, timeline to Fall 2027, SportsDome off-peak operating model</w:t>
            </w:r>
          </w:p>
        </w:tc>
        <w:tc>
          <w:tcPr>
            <w:tcW w:type="dxa" w:w="2624"/>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Alain</w:t>
            </w:r>
          </w:p>
        </w:tc>
      </w:tr>
      <w:tr>
        <w:trPr>
          <w:tblHeader w:val="false"/>
        </w:trPr>
        <w:tc>
          <w:tcPr>
            <w:tcW w:type="dxa" w:w="115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36–40</w:t>
            </w:r>
          </w:p>
        </w:tc>
        <w:tc>
          <w:tcPr>
            <w:tcW w:type="dxa" w:w="290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The ask &amp; use of funds</w:t>
            </w:r>
          </w:p>
        </w:tc>
        <w:tc>
          <w:tcPr>
            <w:tcW w:type="dxa" w:w="3450"/>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$25M equity / $52M debt, what it unlocks, the milestones</w:t>
            </w:r>
          </w:p>
        </w:tc>
        <w:tc>
          <w:tcPr>
            <w:tcW w:type="dxa" w:w="2624"/>
            <w:shd w:fill="FAF9F5"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Nick (use of funds: Annie)</w:t>
            </w:r>
          </w:p>
        </w:tc>
      </w:tr>
      <w:tr>
        <w:trPr>
          <w:tblHeader w:val="false"/>
        </w:trPr>
        <w:tc>
          <w:tcPr>
            <w:tcW w:type="dxa" w:w="115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40–50</w:t>
            </w:r>
          </w:p>
        </w:tc>
        <w:tc>
          <w:tcPr>
            <w:tcW w:type="dxa" w:w="290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Q&amp;A + flip + next step</w:t>
            </w:r>
          </w:p>
        </w:tc>
        <w:tc>
          <w:tcPr>
            <w:tcW w:type="dxa" w:w="3450"/>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Answer, then ask them questions, then book the next action</w:t>
            </w:r>
          </w:p>
        </w:tc>
        <w:tc>
          <w:tcPr>
            <w:tcW w:type="dxa" w:w="2624"/>
            <w:shd w:fill="FFFFFF" w:val="clear"/>
            <w:tcMar>
              <w:top w:type="dxa" w:w="56"/>
              <w:left w:type="dxa" w:w="110"/>
              <w:bottom w:type="dxa" w:w="56"/>
              <w:right w:type="dxa" w:w="110"/>
            </w:tcMar>
            <w:vAlign w:val="top"/>
          </w:tcPr>
          <w:p>
            <w:pPr>
              <w:spacing w:after="0" w:before="0" w:line="248"/>
            </w:pPr>
            <w:r>
              <w:rPr>
                <w:rFonts w:ascii="Arial" w:cs="Arial" w:eastAsia="Arial" w:hAnsi="Arial"/>
                <w:b w:val="false"/>
                <w:bCs w:val="false"/>
                <w:i w:val="false"/>
                <w:iCs w:val="false"/>
                <w:caps w:val="false"/>
                <w:color w:val="2E2E2E"/>
                <w:sz w:val="19"/>
                <w:szCs w:val="19"/>
              </w:rPr>
              <w:t xml:space="preserve">Nick leads; owners field by domain</w:t>
            </w:r>
          </w:p>
        </w:tc>
      </w:tr>
    </w:tbl>
    <w:p>
      <w:pPr>
        <w:spacing w:after="50" w:before="140"/>
      </w:pPr>
      <w:r>
        <w:rPr>
          <w:rFonts w:ascii="Arial" w:cs="Arial" w:eastAsia="Arial" w:hAnsi="Arial"/>
          <w:b/>
          <w:bCs/>
          <w:i w:val="false"/>
          <w:iCs w:val="false"/>
          <w:caps w:val="false"/>
          <w:color w:val="1F2A44"/>
          <w:sz w:val="23"/>
          <w:szCs w:val="23"/>
        </w:rPr>
        <w:t xml:space="preserve">Who owns which question</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Vision, market, category, moat → Bertrand. </w:t>
      </w:r>
      <w:r>
        <w:rPr>
          <w:rFonts w:ascii="Arial" w:cs="Arial" w:eastAsia="Arial" w:hAnsi="Arial"/>
          <w:b w:val="false"/>
          <w:bCs w:val="false"/>
          <w:i w:val="false"/>
          <w:iCs w:val="false"/>
          <w:caps w:val="false"/>
          <w:color w:val="2E2E2E"/>
          <w:sz w:val="20"/>
          <w:szCs w:val="20"/>
        </w:rPr>
        <w:t xml:space="preserve">“Why now” and “why you.”</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Money — returns, structure, waterfall, risk, exit → Annie. </w:t>
      </w:r>
      <w:r>
        <w:rPr>
          <w:rFonts w:ascii="Arial" w:cs="Arial" w:eastAsia="Arial" w:hAnsi="Arial"/>
          <w:b w:val="false"/>
          <w:bCs w:val="false"/>
          <w:i w:val="false"/>
          <w:iCs w:val="false"/>
          <w:caps w:val="false"/>
          <w:color w:val="2E2E2E"/>
          <w:sz w:val="20"/>
          <w:szCs w:val="20"/>
        </w:rPr>
        <w:t xml:space="preserve">She is the “chief measuring officer”; she frames conservatively and defines what failure looks like.</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Build, timeline, operations → Alain. </w:t>
      </w:r>
      <w:r>
        <w:rPr>
          <w:rFonts w:ascii="Arial" w:cs="Arial" w:eastAsia="Arial" w:hAnsi="Arial"/>
          <w:b w:val="false"/>
          <w:bCs w:val="false"/>
          <w:i w:val="false"/>
          <w:iCs w:val="false"/>
          <w:caps w:val="false"/>
          <w:color w:val="2E2E2E"/>
          <w:sz w:val="20"/>
          <w:szCs w:val="20"/>
        </w:rPr>
        <w:t xml:space="preserve">Execution and de-risking.</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Technology &amp; platform/licensing → Jules. </w:t>
      </w:r>
      <w:r>
        <w:rPr>
          <w:rFonts w:ascii="Arial" w:cs="Arial" w:eastAsia="Arial" w:hAnsi="Arial"/>
          <w:b w:val="false"/>
          <w:bCs w:val="false"/>
          <w:i w:val="false"/>
          <w:iCs w:val="false"/>
          <w:caps w:val="false"/>
          <w:color w:val="2E2E2E"/>
          <w:sz w:val="20"/>
          <w:szCs w:val="20"/>
        </w:rPr>
        <w:t xml:space="preserve">On call; in the room for strategic/platform investors.</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Commercial, process, the deal, next steps → Nick. </w:t>
      </w:r>
      <w:r>
        <w:rPr>
          <w:rFonts w:ascii="Arial" w:cs="Arial" w:eastAsia="Arial" w:hAnsi="Arial"/>
          <w:b w:val="false"/>
          <w:bCs w:val="false"/>
          <w:i w:val="false"/>
          <w:iCs w:val="false"/>
          <w:caps w:val="false"/>
          <w:color w:val="2E2E2E"/>
          <w:sz w:val="20"/>
          <w:szCs w:val="20"/>
        </w:rPr>
        <w:t xml:space="preserve">And anything that needs to be re-pointed to the right owner.</w:t>
      </w:r>
    </w:p>
    <w:p>
      <w:pPr>
        <w:shd w:fill="2E2E2E" w:val="clear"/>
        <w:spacing w:after="120" w:before="220"/>
      </w:pPr>
      <w:r>
        <w:rPr>
          <w:rFonts w:ascii="Arial" w:cs="Arial" w:eastAsia="Arial" w:hAnsi="Arial"/>
          <w:b/>
          <w:bCs/>
          <w:i w:val="false"/>
          <w:iCs w:val="false"/>
          <w:caps/>
          <w:color w:val="FFFFFF"/>
          <w:spacing w:val="16"/>
          <w:sz w:val="22"/>
          <w:szCs w:val="22"/>
        </w:rPr>
        <w:t xml:space="preserve">  8 · Handling Questions — No, Not Only at the End</w:t>
      </w:r>
    </w:p>
    <w:p>
      <w:pPr>
        <w:spacing w:after="90" w:before="40" w:line="268"/>
      </w:pPr>
      <w:r>
        <w:rPr>
          <w:rFonts w:ascii="Arial" w:cs="Arial" w:eastAsia="Arial" w:hAnsi="Arial"/>
          <w:b w:val="false"/>
          <w:bCs w:val="false"/>
          <w:i w:val="false"/>
          <w:iCs w:val="false"/>
          <w:caps w:val="false"/>
          <w:color w:val="2E2E2E"/>
          <w:sz w:val="20"/>
          <w:szCs w:val="20"/>
        </w:rPr>
        <w:t xml:space="preserve">For a small investor meeting, do not hold all questions to the end — that reads as evasive and kills rapport. Take clarifying questions live; the give-and-take is where the investor processes the deal and where you demonstrate command. Reserve the end-only format for one-to-many webinars, where live interruptions don’t scale.</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Microframe and park tangents: </w:t>
      </w:r>
      <w:r>
        <w:rPr>
          <w:rFonts w:ascii="Arial" w:cs="Arial" w:eastAsia="Arial" w:hAnsi="Arial"/>
          <w:b w:val="false"/>
          <w:bCs w:val="false"/>
          <w:i w:val="false"/>
          <w:iCs w:val="false"/>
          <w:caps w:val="false"/>
          <w:color w:val="2E2E2E"/>
          <w:sz w:val="20"/>
          <w:szCs w:val="20"/>
        </w:rPr>
        <w:t xml:space="preserve">“Great question — that’s exactly where Annie’s numbers go in two minutes; can I take it there?” Keeps control without shutting anyone down.</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Answer only what was asked: </w:t>
      </w:r>
      <w:r>
        <w:rPr>
          <w:rFonts w:ascii="Arial" w:cs="Arial" w:eastAsia="Arial" w:hAnsi="Arial"/>
          <w:b w:val="false"/>
          <w:bCs w:val="false"/>
          <w:i w:val="false"/>
          <w:iCs w:val="false"/>
          <w:caps w:val="false"/>
          <w:color w:val="2E2E2E"/>
          <w:sz w:val="20"/>
          <w:szCs w:val="20"/>
        </w:rPr>
        <w:t xml:space="preserve">resist over-explaining. If a fuller answer would help, ask permission first — “would a breakdown of the debt service be useful?”</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Use a tight structure (CLEAR): </w:t>
      </w:r>
      <w:r>
        <w:rPr>
          <w:rFonts w:ascii="Arial" w:cs="Arial" w:eastAsia="Arial" w:hAnsi="Arial"/>
          <w:b w:val="false"/>
          <w:bCs w:val="false"/>
          <w:i w:val="false"/>
          <w:iCs w:val="false"/>
          <w:caps w:val="false"/>
          <w:color w:val="2E2E2E"/>
          <w:sz w:val="20"/>
          <w:szCs w:val="20"/>
        </w:rPr>
        <w:t xml:space="preserve">Context, Logic, Evidence, Action, Relevance — a 30-second frame that keeps answers crisp.</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It’s fine to say “I don’t know”: </w:t>
      </w:r>
      <w:r>
        <w:rPr>
          <w:rFonts w:ascii="Arial" w:cs="Arial" w:eastAsia="Arial" w:hAnsi="Arial"/>
          <w:b w:val="false"/>
          <w:bCs w:val="false"/>
          <w:i w:val="false"/>
          <w:iCs w:val="false"/>
          <w:caps w:val="false"/>
          <w:color w:val="2E2E2E"/>
          <w:sz w:val="20"/>
          <w:szCs w:val="20"/>
        </w:rPr>
        <w:t xml:space="preserve">“I don’t know — here’s how we’ll get you the answer by Friday.” Never argue a hard question; honesty builds more trust than bluffing.</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Route by domain: </w:t>
      </w:r>
      <w:r>
        <w:rPr>
          <w:rFonts w:ascii="Arial" w:cs="Arial" w:eastAsia="Arial" w:hAnsi="Arial"/>
          <w:b w:val="false"/>
          <w:bCs w:val="false"/>
          <w:i w:val="false"/>
          <w:iCs w:val="false"/>
          <w:caps w:val="false"/>
          <w:color w:val="2E2E2E"/>
          <w:sz w:val="20"/>
          <w:szCs w:val="20"/>
        </w:rPr>
        <w:t xml:space="preserve">Nick redirects each question to its owner so the team never talks over itself.</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Then flip the Q&amp;A: </w:t>
      </w:r>
      <w:r>
        <w:rPr>
          <w:rFonts w:ascii="Arial" w:cs="Arial" w:eastAsia="Arial" w:hAnsi="Arial"/>
          <w:b w:val="false"/>
          <w:bCs w:val="false"/>
          <w:i w:val="false"/>
          <w:iCs w:val="false"/>
          <w:caps w:val="false"/>
          <w:color w:val="2E2E2E"/>
          <w:sz w:val="20"/>
          <w:szCs w:val="20"/>
        </w:rPr>
        <w:t xml:space="preserve">“What’s your typical process and timeline?” “Is there anyone else we should meet?” “What would you need to see to get to a yes?” Their answers tell you exactly where you stand.</w:t>
      </w:r>
    </w:p>
    <w:p>
      <w:pPr>
        <w:shd w:fill="2E2E2E" w:val="clear"/>
        <w:spacing w:after="120" w:before="220"/>
      </w:pPr>
      <w:r>
        <w:rPr>
          <w:rFonts w:ascii="Arial" w:cs="Arial" w:eastAsia="Arial" w:hAnsi="Arial"/>
          <w:b/>
          <w:bCs/>
          <w:i w:val="false"/>
          <w:iCs w:val="false"/>
          <w:caps/>
          <w:color w:val="FFFFFF"/>
          <w:spacing w:val="16"/>
          <w:sz w:val="22"/>
          <w:szCs w:val="22"/>
        </w:rPr>
        <w:t xml:space="preserve">  9 · Booking the Next Step &amp; Follow-Up</w:t>
      </w:r>
    </w:p>
    <w:p>
      <w:pPr>
        <w:spacing w:after="90" w:before="40" w:line="268"/>
      </w:pPr>
      <w:r>
        <w:rPr>
          <w:rFonts w:ascii="Arial" w:cs="Arial" w:eastAsia="Arial" w:hAnsi="Arial"/>
          <w:b w:val="false"/>
          <w:bCs w:val="false"/>
          <w:i w:val="false"/>
          <w:iCs w:val="false"/>
          <w:caps w:val="false"/>
          <w:color w:val="2E2E2E"/>
          <w:sz w:val="20"/>
          <w:szCs w:val="20"/>
        </w:rPr>
        <w:t xml:space="preserve">Never leave a meeting without a concrete, dated next action — book it live, calendar on the table. The deck earned the next meeting; now lock it.</w:t>
      </w:r>
    </w:p>
    <w:p>
      <w:pPr>
        <w:pStyle w:val="ListParagraph"/>
        <w:numPr>
          <w:ilvl w:val="0"/>
          <w:numId w:val="1"/>
        </w:numPr>
        <w:spacing w:after="60" w:line="262"/>
      </w:pPr>
      <w:r>
        <w:rPr>
          <w:rFonts w:ascii="Arial" w:cs="Arial" w:eastAsia="Arial" w:hAnsi="Arial"/>
          <w:b w:val="false"/>
          <w:bCs w:val="false"/>
          <w:i w:val="false"/>
          <w:iCs w:val="false"/>
          <w:caps w:val="false"/>
          <w:color w:val="2E2E2E"/>
          <w:sz w:val="20"/>
          <w:szCs w:val="20"/>
        </w:rPr>
        <w:t xml:space="preserve">Define the next step explicitly: NDA + data-room access, a second (diligence) meeting, or a site/design walkthrough — with a date.</w:t>
      </w:r>
    </w:p>
    <w:p>
      <w:pPr>
        <w:pStyle w:val="ListParagraph"/>
        <w:numPr>
          <w:ilvl w:val="0"/>
          <w:numId w:val="1"/>
        </w:numPr>
        <w:spacing w:after="60" w:line="262"/>
      </w:pPr>
      <w:r>
        <w:rPr>
          <w:rFonts w:ascii="Arial" w:cs="Arial" w:eastAsia="Arial" w:hAnsi="Arial"/>
          <w:b w:val="false"/>
          <w:bCs w:val="false"/>
          <w:i w:val="false"/>
          <w:iCs w:val="false"/>
          <w:caps w:val="false"/>
          <w:color w:val="2E2E2E"/>
          <w:sz w:val="20"/>
          <w:szCs w:val="20"/>
        </w:rPr>
        <w:t xml:space="preserve">Send the follow-up same day: thank-you, recap of what was agreed, the materials promised, and the data-room link once the NDA is back.</w:t>
      </w:r>
    </w:p>
    <w:p>
      <w:pPr>
        <w:pStyle w:val="ListParagraph"/>
        <w:numPr>
          <w:ilvl w:val="0"/>
          <w:numId w:val="1"/>
        </w:numPr>
        <w:spacing w:after="60" w:line="262"/>
      </w:pPr>
      <w:r>
        <w:rPr>
          <w:rFonts w:ascii="Arial" w:cs="Arial" w:eastAsia="Arial" w:hAnsi="Arial"/>
          <w:b w:val="false"/>
          <w:bCs w:val="false"/>
          <w:i w:val="false"/>
          <w:iCs w:val="false"/>
          <w:caps w:val="false"/>
          <w:color w:val="2E2E2E"/>
          <w:sz w:val="20"/>
          <w:szCs w:val="20"/>
        </w:rPr>
        <w:t xml:space="preserve">A few days before any next meeting, re-send the key materials to the top of their inbox with a one-line momentum update.</w:t>
      </w:r>
    </w:p>
    <w:p>
      <w:pPr>
        <w:pStyle w:val="ListParagraph"/>
        <w:numPr>
          <w:ilvl w:val="0"/>
          <w:numId w:val="1"/>
        </w:numPr>
        <w:spacing w:after="60" w:line="262"/>
      </w:pPr>
      <w:r>
        <w:rPr>
          <w:rFonts w:ascii="Arial" w:cs="Arial" w:eastAsia="Arial" w:hAnsi="Arial"/>
          <w:b w:val="false"/>
          <w:bCs w:val="false"/>
          <w:i w:val="false"/>
          <w:iCs w:val="false"/>
          <w:caps w:val="false"/>
          <w:color w:val="2E2E2E"/>
          <w:sz w:val="20"/>
          <w:szCs w:val="20"/>
        </w:rPr>
        <w:t xml:space="preserve">Log everything in Capitalyst Pro — stage, owner, next action, date — so nothing stalls.</w:t>
      </w:r>
    </w:p>
    <w:p>
      <w:pPr>
        <w:shd w:fill="2E2E2E" w:val="clear"/>
        <w:spacing w:after="120" w:before="220"/>
      </w:pPr>
      <w:r>
        <w:rPr>
          <w:rFonts w:ascii="Arial" w:cs="Arial" w:eastAsia="Arial" w:hAnsi="Arial"/>
          <w:b/>
          <w:bCs/>
          <w:i w:val="false"/>
          <w:iCs w:val="false"/>
          <w:caps/>
          <w:color w:val="FFFFFF"/>
          <w:spacing w:val="16"/>
          <w:sz w:val="22"/>
          <w:szCs w:val="22"/>
        </w:rPr>
        <w:t xml:space="preserve">  10 · Compliance Guardrails (always on)</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Bond Conway signs off </w:t>
      </w:r>
      <w:r>
        <w:rPr>
          <w:rFonts w:ascii="Arial" w:cs="Arial" w:eastAsia="Arial" w:hAnsi="Arial"/>
          <w:b w:val="false"/>
          <w:bCs w:val="false"/>
          <w:i w:val="false"/>
          <w:iCs w:val="false"/>
          <w:caps w:val="false"/>
          <w:color w:val="2E2E2E"/>
          <w:sz w:val="20"/>
          <w:szCs w:val="20"/>
        </w:rPr>
        <w:t xml:space="preserve">on every outward document, the NDA template, the offering docs, the restructured economics, and any placement-fee arrangement — before investor use.</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Everything stays labeled modeled / illustrative; </w:t>
      </w:r>
      <w:r>
        <w:rPr>
          <w:rFonts w:ascii="Arial" w:cs="Arial" w:eastAsia="Arial" w:hAnsi="Arial"/>
          <w:b w:val="false"/>
          <w:bCs w:val="false"/>
          <w:i w:val="false"/>
          <w:iCs w:val="false"/>
          <w:caps w:val="false"/>
          <w:color w:val="2E2E2E"/>
          <w:sz w:val="20"/>
          <w:szCs w:val="20"/>
        </w:rPr>
        <w:t xml:space="preserve">the restructured stack and waterfall are subject to amended offering documents until counsel finalizes them.</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Accreditation before subscription: </w:t>
      </w:r>
      <w:r>
        <w:rPr>
          <w:rFonts w:ascii="Arial" w:cs="Arial" w:eastAsia="Arial" w:hAnsi="Arial"/>
          <w:b w:val="false"/>
          <w:bCs w:val="false"/>
          <w:i w:val="false"/>
          <w:iCs w:val="false"/>
          <w:caps w:val="false"/>
          <w:color w:val="2E2E2E"/>
          <w:sz w:val="20"/>
          <w:szCs w:val="20"/>
        </w:rPr>
        <w:t xml:space="preserve">verify every purchaser (minimum-investment safe harbor or document review); the PPM and sub docs go only to verified-accredited investors.</w:t>
      </w:r>
    </w:p>
    <w:p>
      <w:pPr>
        <w:pStyle w:val="ListParagraph"/>
        <w:numPr>
          <w:ilvl w:val="0"/>
          <w:numId w:val="1"/>
        </w:numPr>
        <w:spacing w:after="60" w:line="262"/>
      </w:pPr>
      <w:r>
        <w:rPr>
          <w:rFonts w:ascii="Arial" w:cs="Arial" w:eastAsia="Arial" w:hAnsi="Arial"/>
          <w:b/>
          <w:bCs/>
          <w:i w:val="false"/>
          <w:iCs w:val="false"/>
          <w:caps w:val="false"/>
          <w:color w:val="2E2E2E"/>
          <w:sz w:val="20"/>
          <w:szCs w:val="20"/>
        </w:rPr>
        <w:t xml:space="preserve">Housekeeping: </w:t>
      </w:r>
      <w:r>
        <w:rPr>
          <w:rFonts w:ascii="Arial" w:cs="Arial" w:eastAsia="Arial" w:hAnsi="Arial"/>
          <w:b w:val="false"/>
          <w:bCs w:val="false"/>
          <w:i w:val="false"/>
          <w:iCs w:val="false"/>
          <w:caps w:val="false"/>
          <w:color w:val="2E2E2E"/>
          <w:sz w:val="20"/>
          <w:szCs w:val="20"/>
        </w:rPr>
        <w:t xml:space="preserve">file Form D within 15 days of first sale, complete blue-sky/state notice filings, and remember 506(c) cannot be “un-rung” back to 506(b).</w:t>
      </w:r>
    </w:p>
    <w:p>
      <w:pPr>
        <w:pBdr>
          <w:top w:val="single" w:color="DFCE9D" w:sz="4" w:space="8"/>
        </w:pBdr>
        <w:spacing w:after="30" w:before="180" w:line="226"/>
      </w:pPr>
      <w:r>
        <w:rPr>
          <w:rFonts w:ascii="Arial" w:cs="Arial" w:eastAsia="Arial" w:hAnsi="Arial"/>
          <w:b w:val="false"/>
          <w:bCs w:val="false"/>
          <w:i/>
          <w:iCs/>
          <w:caps w:val="false"/>
          <w:color w:val="6B6B6B"/>
          <w:sz w:val="15"/>
          <w:szCs w:val="15"/>
        </w:rPr>
        <w:t xml:space="preserve">Internal strategy document — not for investor distribution. Reflects current best practice and the restructured Fund I terms (illustrative, pending Bond Conway). Nothing here is legal advice; securities-law steps are confirmed with counsel before execution. Figures referenced (19.7% blended IRR, 2.35x MOIC, $77.0M capitalization) are modeled estimates, not guarantees.</w:t>
      </w:r>
    </w:p>
    <w:sectPr>
      <w:pgSz w:w="12240" w:h="15840" w:orient="portrait"/>
      <w:pgMar w:top="1008"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CB5E477540964E8F626A688AAD728E" ma:contentTypeVersion="14" ma:contentTypeDescription="Create a new document." ma:contentTypeScope="" ma:versionID="6c1c305a94a89f2041ba7b69dcb70855">
  <xsd:schema xmlns:xsd="http://www.w3.org/2001/XMLSchema" xmlns:xs="http://www.w3.org/2001/XMLSchema" xmlns:p="http://schemas.microsoft.com/office/2006/metadata/properties" xmlns:ns2="234de5ca-b4f8-4058-b9f6-459763652aff" xmlns:ns3="835f4433-dd77-4c52-bb0b-bde5e23e02d4" targetNamespace="http://schemas.microsoft.com/office/2006/metadata/properties" ma:root="true" ma:fieldsID="17427eedb5981284c077e88e6af5560e" ns2:_="" ns3:_="">
    <xsd:import namespace="234de5ca-b4f8-4058-b9f6-459763652aff"/>
    <xsd:import namespace="835f4433-dd77-4c52-bb0b-bde5e23e0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4de5ca-b4f8-4058-b9f6-459763652a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ae1480b-bd3f-4ba3-909e-28113204a6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5f4433-dd77-4c52-bb0b-bde5e23e02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27d96b5-36a5-4f4d-ab1c-87f745630bd6}" ma:internalName="TaxCatchAll" ma:showField="CatchAllData" ma:web="835f4433-dd77-4c52-bb0b-bde5e23e02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35f4433-dd77-4c52-bb0b-bde5e23e02d4" xsi:nil="true"/>
    <lcf76f155ced4ddcb4097134ff3c332f xmlns="234de5ca-b4f8-4058-b9f6-459763652af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DAD4EE-A03D-4F8C-AE8A-0FD530F44F43}"/>
</file>

<file path=customXml/itemProps2.xml><?xml version="1.0" encoding="utf-8"?>
<ds:datastoreItem xmlns:ds="http://schemas.openxmlformats.org/officeDocument/2006/customXml" ds:itemID="{C053C6FE-E4D3-41E1-AF71-5C3649B7AAA8}"/>
</file>

<file path=customXml/itemProps3.xml><?xml version="1.0" encoding="utf-8"?>
<ds:datastoreItem xmlns:ds="http://schemas.openxmlformats.org/officeDocument/2006/customXml" ds:itemID="{8973CFEF-15CA-4A3C-BF15-AA9D048AD6E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2026-06-30T14:45:10Z</dcterms:created>
  <dcterms:modified xsi:type="dcterms:W3CDTF">2026-06-30T14:45:10Z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0x010100F1CB5E477540964E8F626A688AAD728E</vt:lpwstr>
  </property>
</Properties>
</file>