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aps w:val="false"/>
          <w:color w:val="2E2E2E"/>
          <w:spacing w:val="24"/>
          <w:sz w:val="38"/>
          <w:szCs w:val="38"/>
        </w:rPr>
        <w:t xml:space="preserve">MEGALODOME GOLF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DFCE9D"/>
          <w:spacing w:val="22"/>
          <w:sz w:val="16"/>
          <w:szCs w:val="16"/>
        </w:rPr>
        <w:t xml:space="preserve">Investor FAQ &amp; Objection-Handling Guide</w:t>
      </w:r>
    </w:p>
    <w:p>
      <w:pPr>
        <w:spacing w:after="9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8"/>
          <w:szCs w:val="18"/>
        </w:rPr>
        <w:t xml:space="preserve">Chicago West · MEGALODOME GOLF Equity Fund I · Reg D 506(c).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8"/>
          <w:szCs w:val="18"/>
        </w:rPr>
        <w:t xml:space="preserve">Crisp, honest answers to the questions investors actually ask. Pair with the meeting choreography in the Engagement Playbook. All figures are modeled estimates, not guarantees.</w:t>
      </w:r>
    </w:p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The Opportunity &amp; Category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Isn’t this just an indoor driving range or a simulator venue?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No. It is a real, walkable executive golf course on first-quality artificial turf inside four climate-controlled domes — a 9-hole par-30 you actually play, plus a separate practice facility with technology. Simulators are screens; this is the game. That distinction is the entire category.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Who is the competition?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No one offers real indoor course play — Topgolf, Five Iron and X-Golf monetize entertainment or practice, not a round of golf. We are positioned as a category creator, protected by trademark and course-design IP rather than a head-to-head feature race.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Why will you win, and stay won?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Municipal approval is secured, the design documentation is complete, and the first-mover plus IP position is hard to copy quickly. The honest risk is first-of-category execution — which is why the team, approvals and a complete model matter as much as the idea.</w:t>
      </w:r>
    </w:p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The Market &amp; Demand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Is the demand actually there?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U.S. off-course golf participation (32.9M) now exceeds on-course play for the first time in history, and Chicago’s outdoor season closes for five to seven months. The model captures that closed-season window at premium winter pricing — peak winter occupancy is modeled near 90%.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Why Oswego / Chicago West?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A dense, affluent, cold-weather metro about 30 miles west of downtown Chicago, on a 100-acre site with unanimous Village of Oswego approval (Sept 2024). The siting in other materials may be shown as representative; this flagship is the intended first build.</w:t>
      </w:r>
    </w:p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The Numbers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How realistic is a 19.7% blended IRR / 2.35x?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It is a modeled base case: a Year-5 exit at 9.0x stabilized EBITDA (~$15.0M), net of debt, with a Year-1 ramp at ~38% realization. It is stress-tested — at a 7.5x exit the blended multiple is ~1.93x. These are targets dependent on the stated assumptions, not guarantees.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Why is Year-1 DSCR below 1.0x?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The restructured stack carries more debt ($52M), so first-year debt service (~$5.7M) modestly exceeds ramp-year EBITDA (~$5.0M) — a 0.88x coverage. That gap is pre-funded by a 12-month interest reserve sized into the uses of funds; coverage clears 1.4x from FY2028. We disclose this rather than bury it.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Why a 9.0x exit multiple?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9.0x sits at the optimistic end of golf-sector comps, so we model it as the base case and show 7.0x–9.5x in sensitivity. The hard-asset collateral — 100 acres and four domes — underpins value even if the multiple compresses.</w:t>
      </w:r>
    </w:p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The Structure — What You Own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What exactly would I be buying?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Three equity routes: Fund (Class B preferred) units and founding-member equity, which together form a $20M investor pool sharing a 10% preferred return; or a direct $5M outside stake for 12.5% of MEGALODOME GOLF CHICAGO WEST INC. The Fund holds 500 Class B Units at $20,000, a 10% preferred return, and 25% of distributable profits; MEGALODOME GOLF USA INC. (the Manager) holds 52.5%. (Final terms per the amended offering documents.)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How is the equity split?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After a 10% preferred return to the Fund and Membership, exit equity follows ownership: Fund 25%, Membership 10%, Strategic/Outside 12.5%, and MEGALODOME GOLF USA INC. (Manager) 52.5%. Fund and Strategic investors also participate in MEGALODOME GOLF USA INC. as additional upside.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What is my preferred return and when do distributions start?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10% per annum, cumulative and non-compounded, on the Fund + Membership pool. It accrues during construction (settled later) and begins paying in cash from FY2028 as the asset ramps.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When and how do I get my capital back?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Within a five-year horizon, through refinance after Year 4 or a sale/sale-leaseback at stabilization. Capital is locked for 60 months, at which point two liquidity options apply — convert Fund units to Class A (retaining 25%) or a Company buyout via refinancing; this is an illiquid, long-hold private investment.</w:t>
      </w:r>
    </w:p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Risk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What if occupancy lags the model?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Year-1 is stress-tested at 35% / 50% / 70% realization, and the interest reserve covers ramp-year service. Year-1 realization affects ramp-year cash but not the stabilized Year-5 EBITDA that drives exit value.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What if construction runs over?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A 10% construction contingency is built into the uses of funds, design documentation is complete, and Alain Desrochers (CDO) brings 30 years of process-driven development. Cost risk is real and disclosed; the contingency is the first buffer.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What if you can’t refinance or sell at exit?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Exit has three paths — refinance, strategic sale, or sale-leaseback to a triple-net REIT — and the hard real-estate asset provides collateral value independent of any single buyer. Timing and multiple are the key variables, both shown in sensitivity.</w:t>
      </w:r>
    </w:p>
    <w:p>
      <w:pPr>
        <w:shd w:fill="2E2E2E" w:val="clear"/>
        <w:spacing w:after="11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4"/>
          <w:sz w:val="21"/>
          <w:szCs w:val="21"/>
        </w:rPr>
        <w:t xml:space="preserve">  Team &amp; Process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Have you done this before?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This is a category-defining first project, so we frame what is true rather than claim realized fund returns: four years of pre-development, unanimous approval, a complete model, and SportsDome’s 15-year school-program operating model that fills weekday off-peak hours. The CFO (Columbia MBA, CFA, ex-Credit Suisse) anchors the financials.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Am I eligible, and what is the minimum?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The offering is limited to accredited investors, whose status is verified. The individual minimum is currently [$100K — under review; raising to $200K would simplify verification]. We will walk you through accreditation as part of subscribing.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A44"/>
          <w:sz w:val="20"/>
          <w:szCs w:val="20"/>
        </w:rPr>
        <w:t xml:space="preserve">Q.  How do I move forward?</w:t>
      </w:r>
    </w:p>
    <w:p>
      <w:pPr>
        <w:spacing w:after="60" w:before="4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20"/>
          <w:szCs w:val="20"/>
        </w:rPr>
        <w:t xml:space="preserve">A 20-minute discovery call, then a first meeting; if you’re engaged, we open the data room under a mutual NDA for diligence, verify accreditation, and move to subscription documents. Nick Badyal is your single point of contact throughout.</w:t>
      </w:r>
    </w:p>
    <w:p>
      <w:pPr>
        <w:pBdr>
          <w:top w:val="single" w:color="DFCE9D" w:sz="4" w:space="8"/>
        </w:pBdr>
        <w:spacing w:after="0" w:before="200" w:line="222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4"/>
          <w:szCs w:val="14"/>
        </w:rPr>
        <w:t xml:space="preserve">CONFIDENTIAL — for accredited investors only. Reflects a proposed restructured capital stack; terms are illustrative and subject to amended offering documents and securities-counsel review. Not an offer to sell or solicitation to buy any security; any offering is made solely through the PPM and subscription documents under Rule 506(c) of Regulation D. Projections are modeled estimates, not guarantees; actual results will differ.</w:t>
      </w:r>
    </w:p>
    <w:sectPr>
      <w:pgSz w:w="12240" w:h="15840" w:orient="portrait"/>
      <w:pgMar w:top="1008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B5E477540964E8F626A688AAD728E" ma:contentTypeVersion="14" ma:contentTypeDescription="Create a new document." ma:contentTypeScope="" ma:versionID="6c1c305a94a89f2041ba7b69dcb70855">
  <xsd:schema xmlns:xsd="http://www.w3.org/2001/XMLSchema" xmlns:xs="http://www.w3.org/2001/XMLSchema" xmlns:p="http://schemas.microsoft.com/office/2006/metadata/properties" xmlns:ns2="234de5ca-b4f8-4058-b9f6-459763652aff" xmlns:ns3="835f4433-dd77-4c52-bb0b-bde5e23e02d4" targetNamespace="http://schemas.microsoft.com/office/2006/metadata/properties" ma:root="true" ma:fieldsID="17427eedb5981284c077e88e6af5560e" ns2:_="" ns3:_="">
    <xsd:import namespace="234de5ca-b4f8-4058-b9f6-459763652aff"/>
    <xsd:import namespace="835f4433-dd77-4c52-bb0b-bde5e23e0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de5ca-b4f8-4058-b9f6-459763652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e1480b-bd3f-4ba3-909e-28113204a6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f4433-dd77-4c52-bb0b-bde5e23e02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7d96b5-36a5-4f4d-ab1c-87f745630bd6}" ma:internalName="TaxCatchAll" ma:showField="CatchAllData" ma:web="835f4433-dd77-4c52-bb0b-bde5e23e0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f4433-dd77-4c52-bb0b-bde5e23e02d4" xsi:nil="true"/>
    <lcf76f155ced4ddcb4097134ff3c332f xmlns="234de5ca-b4f8-4058-b9f6-459763652a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76A4AD-B67E-490B-830C-1F96B2913471}"/>
</file>

<file path=customXml/itemProps2.xml><?xml version="1.0" encoding="utf-8"?>
<ds:datastoreItem xmlns:ds="http://schemas.openxmlformats.org/officeDocument/2006/customXml" ds:itemID="{4AFC899F-1710-4187-9221-78013240BF31}"/>
</file>

<file path=customXml/itemProps3.xml><?xml version="1.0" encoding="utf-8"?>
<ds:datastoreItem xmlns:ds="http://schemas.openxmlformats.org/officeDocument/2006/customXml" ds:itemID="{99437191-6371-4EA5-87AF-70811C77DB8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2026-06-30T15:10:10Z</dcterms:created>
  <dcterms:modified xsi:type="dcterms:W3CDTF">2026-06-30T15:10:10Z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0x010100F1CB5E477540964E8F626A688AAD728E</vt:lpwstr>
  </property>
</Properties>
</file>