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15E7B" w14:textId="77777777" w:rsidR="00C602AA" w:rsidRDefault="00000000">
      <w:pPr>
        <w:spacing w:after="8"/>
      </w:pPr>
      <w:r>
        <w:rPr>
          <w:rFonts w:ascii="Cormorant Garamond" w:eastAsia="Cormorant Garamond" w:hAnsi="Cormorant Garamond" w:cs="Cormorant Garamond"/>
          <w:b/>
          <w:bCs/>
          <w:spacing w:val="24"/>
          <w:sz w:val="38"/>
          <w:szCs w:val="38"/>
        </w:rPr>
        <w:t>MEGALODOME GOLF</w:t>
      </w:r>
    </w:p>
    <w:p w14:paraId="04F29065" w14:textId="77777777" w:rsidR="00C602AA" w:rsidRDefault="00000000">
      <w:pPr>
        <w:spacing w:after="60"/>
      </w:pPr>
      <w:r>
        <w:rPr>
          <w:b/>
          <w:bCs/>
          <w:caps/>
          <w:color w:val="DFCE9D"/>
          <w:spacing w:val="22"/>
          <w:sz w:val="16"/>
          <w:szCs w:val="16"/>
        </w:rPr>
        <w:t>Mutual Non-Disclosure &amp; Non-Circumvention Agreement</w:t>
      </w:r>
    </w:p>
    <w:p w14:paraId="7C161888" w14:textId="77777777" w:rsidR="00C602AA" w:rsidRDefault="00000000">
      <w:pPr>
        <w:spacing w:before="40" w:after="90" w:line="270" w:lineRule="auto"/>
      </w:pPr>
      <w:r>
        <w:t xml:space="preserve">This Mutual Non-Disclosure &amp; Non-Circumvention Agreement (“Agreement”) is made as of </w:t>
      </w:r>
      <w:r>
        <w:rPr>
          <w:b/>
          <w:bCs/>
        </w:rPr>
        <w:t>[Date]</w:t>
      </w:r>
      <w:r>
        <w:t xml:space="preserve"> between </w:t>
      </w:r>
      <w:r>
        <w:rPr>
          <w:b/>
          <w:bCs/>
        </w:rPr>
        <w:t>MEGALODOME GOLF Inc.</w:t>
      </w:r>
      <w:r>
        <w:t xml:space="preserve"> and its affiliate </w:t>
      </w:r>
      <w:r>
        <w:rPr>
          <w:b/>
          <w:bCs/>
        </w:rPr>
        <w:t>MEGALODOME GOLF Equity Fund I LLC</w:t>
      </w:r>
      <w:r>
        <w:t xml:space="preserve"> (together, the “Company”), and </w:t>
      </w:r>
      <w:r>
        <w:rPr>
          <w:b/>
          <w:bCs/>
        </w:rPr>
        <w:t>[Counterparty / Prospective Investor name]</w:t>
      </w:r>
      <w:r>
        <w:t xml:space="preserve"> (“Counterparty”). The Company and Counterparty are each a “Party” and together the “Parties.”</w:t>
      </w:r>
    </w:p>
    <w:p w14:paraId="76B819C1" w14:textId="77777777" w:rsidR="00C602AA" w:rsidRDefault="00000000">
      <w:pPr>
        <w:spacing w:before="140" w:after="30"/>
      </w:pPr>
      <w:r>
        <w:rPr>
          <w:b/>
          <w:bCs/>
          <w:color w:val="1F2A44"/>
        </w:rPr>
        <w:t>1.  Purpose</w:t>
      </w:r>
    </w:p>
    <w:p w14:paraId="0FC1072A" w14:textId="77777777" w:rsidR="00C602AA" w:rsidRDefault="00000000">
      <w:pPr>
        <w:spacing w:before="40" w:after="70" w:line="270" w:lineRule="auto"/>
      </w:pPr>
      <w:r>
        <w:t>The Parties wish to explore a possible investment by Counterparty in the Company’s private offering of securities conducted under Rule 506(c) of Regulation D (the “Purpose”). In connection with the Purpose, each Party (as “Discloser”) may share confidential information with the other (as “Recipient”).</w:t>
      </w:r>
    </w:p>
    <w:p w14:paraId="7B3C8815" w14:textId="77777777" w:rsidR="00C602AA" w:rsidRDefault="00000000">
      <w:pPr>
        <w:spacing w:before="140" w:after="30"/>
      </w:pPr>
      <w:r>
        <w:rPr>
          <w:b/>
          <w:bCs/>
          <w:color w:val="1F2A44"/>
        </w:rPr>
        <w:t>2.  Confidential Information</w:t>
      </w:r>
    </w:p>
    <w:p w14:paraId="5C3D85D0" w14:textId="77777777" w:rsidR="00C602AA" w:rsidRDefault="00000000">
      <w:pPr>
        <w:spacing w:before="40" w:after="70" w:line="270" w:lineRule="auto"/>
      </w:pPr>
      <w:r>
        <w:t>“Confidential Information” means non-public information disclosed by or on behalf of a Discloser, in any form and whether or not marked “confidential,” including the financial model and projections, capital structure and waterfall, the private placement memorandum and offering terms, course-design and facility IP, site and development plans, vendor, lender and partner identities and terms, letters of intent and member agreements, business and marketing plans, and the contents of any data room.</w:t>
      </w:r>
    </w:p>
    <w:p w14:paraId="3F4363E4" w14:textId="77777777" w:rsidR="00C602AA" w:rsidRDefault="00000000">
      <w:pPr>
        <w:spacing w:before="140" w:after="30"/>
      </w:pPr>
      <w:r>
        <w:rPr>
          <w:b/>
          <w:bCs/>
          <w:color w:val="1F2A44"/>
        </w:rPr>
        <w:t>3.  Obligations</w:t>
      </w:r>
    </w:p>
    <w:p w14:paraId="175BE7D0" w14:textId="77777777" w:rsidR="00C602AA" w:rsidRDefault="00000000">
      <w:pPr>
        <w:spacing w:before="40" w:after="70" w:line="270" w:lineRule="auto"/>
      </w:pPr>
      <w:r>
        <w:t>Recipient shall: (a) use Confidential Information solely for the Purpose; (b) protect it with at least the care it uses for its own confidential information, and no less than reasonable care; and (c) disclose it only to its directors, officers, employees, and professional advisors who need to know it for the Purpose and who are bound by confidentiality obligations no less protective than these (“Representatives”). Recipient is responsible for any breach by its Representatives.</w:t>
      </w:r>
    </w:p>
    <w:p w14:paraId="3BD8E311" w14:textId="77777777" w:rsidR="00C602AA" w:rsidRDefault="00000000">
      <w:pPr>
        <w:spacing w:before="140" w:after="30"/>
      </w:pPr>
      <w:r>
        <w:rPr>
          <w:b/>
          <w:bCs/>
          <w:color w:val="1F2A44"/>
        </w:rPr>
        <w:t>4.  Exclusions</w:t>
      </w:r>
    </w:p>
    <w:p w14:paraId="0A8BC81D" w14:textId="77777777" w:rsidR="00C602AA" w:rsidRDefault="00000000">
      <w:pPr>
        <w:spacing w:before="40" w:after="70" w:line="270" w:lineRule="auto"/>
      </w:pPr>
      <w:r>
        <w:t>Confidential Information does not include information that: (a) is or becomes public other than through Recipient’s breach; (b) was lawfully known to Recipient without restriction before disclosure; (c) is independently developed by Recipient without use of the Confidential Information; or (d) is lawfully received from a third party without restriction.</w:t>
      </w:r>
    </w:p>
    <w:p w14:paraId="2F88B835" w14:textId="77777777" w:rsidR="00C602AA" w:rsidRDefault="00000000">
      <w:pPr>
        <w:spacing w:before="140" w:after="30"/>
      </w:pPr>
      <w:r>
        <w:rPr>
          <w:b/>
          <w:bCs/>
          <w:color w:val="1F2A44"/>
        </w:rPr>
        <w:t>5.  Compelled Disclosure</w:t>
      </w:r>
    </w:p>
    <w:p w14:paraId="2B0FA185" w14:textId="77777777" w:rsidR="00C602AA" w:rsidRDefault="00000000">
      <w:pPr>
        <w:spacing w:before="40" w:after="70" w:line="270" w:lineRule="auto"/>
      </w:pPr>
      <w:r>
        <w:t>If Recipient is legally compelled to disclose Confidential Information, it shall (to the extent permitted) give the Discloser prompt notice and reasonable cooperation so the Discloser may seek protection, and shall disclose only the portion legally required.</w:t>
      </w:r>
    </w:p>
    <w:p w14:paraId="11B4441C" w14:textId="77777777" w:rsidR="00C602AA" w:rsidRDefault="00000000">
      <w:pPr>
        <w:spacing w:before="140" w:after="30"/>
      </w:pPr>
      <w:r>
        <w:rPr>
          <w:b/>
          <w:bCs/>
          <w:color w:val="1F2A44"/>
        </w:rPr>
        <w:t>6.  Non-Circumvention</w:t>
      </w:r>
    </w:p>
    <w:p w14:paraId="4BA5A303" w14:textId="77777777" w:rsidR="00C602AA" w:rsidRDefault="00000000">
      <w:pPr>
        <w:spacing w:before="40" w:after="70" w:line="270" w:lineRule="auto"/>
      </w:pPr>
      <w:r>
        <w:t xml:space="preserve">For </w:t>
      </w:r>
      <w:r>
        <w:rPr>
          <w:b/>
          <w:bCs/>
        </w:rPr>
        <w:t>[twenty-four (24)] months</w:t>
      </w:r>
      <w:r>
        <w:t xml:space="preserve"> from the date hereof, Counterparty and its Representatives shall not circumvent the Company to deal directly with any landowner, course architect (including </w:t>
      </w:r>
      <w:proofErr w:type="spellStart"/>
      <w:r>
        <w:t>Huxham</w:t>
      </w:r>
      <w:proofErr w:type="spellEnd"/>
      <w:r>
        <w:t xml:space="preserve"> Golf Design), lender, vendor, operator, or other counterparty first identified to Counterparty through the evaluation, for the purpose of pursuing the same or a substantially similar opportunity, without the Company’s prior written consent.</w:t>
      </w:r>
    </w:p>
    <w:p w14:paraId="2C6B96D0" w14:textId="77777777" w:rsidR="00C602AA" w:rsidRDefault="00000000">
      <w:pPr>
        <w:spacing w:before="140" w:after="30"/>
      </w:pPr>
      <w:r>
        <w:rPr>
          <w:b/>
          <w:bCs/>
          <w:color w:val="1F2A44"/>
        </w:rPr>
        <w:t>7.  Non-Solicitation</w:t>
      </w:r>
    </w:p>
    <w:p w14:paraId="3685728B" w14:textId="77777777" w:rsidR="00C602AA" w:rsidRDefault="00000000">
      <w:pPr>
        <w:spacing w:before="40" w:after="70" w:line="270" w:lineRule="auto"/>
      </w:pPr>
      <w:r>
        <w:t xml:space="preserve">For </w:t>
      </w:r>
      <w:r>
        <w:rPr>
          <w:b/>
          <w:bCs/>
        </w:rPr>
        <w:t>[twelve (12)] months</w:t>
      </w:r>
      <w:r>
        <w:t>, Counterparty shall not solicit for employment or engagement any named member of the Company’s management team or key partners introduced in connection with the Purpose. General advertising not targeted at such persons is not a breach.</w:t>
      </w:r>
    </w:p>
    <w:p w14:paraId="38881530" w14:textId="77777777" w:rsidR="00C602AA" w:rsidRDefault="00000000">
      <w:pPr>
        <w:spacing w:before="140" w:after="30"/>
      </w:pPr>
      <w:r>
        <w:rPr>
          <w:b/>
          <w:bCs/>
          <w:color w:val="1F2A44"/>
        </w:rPr>
        <w:t>8.  No Offer; Securities Notice</w:t>
      </w:r>
    </w:p>
    <w:p w14:paraId="57A1B258" w14:textId="77777777" w:rsidR="00C602AA" w:rsidRDefault="00000000">
      <w:pPr>
        <w:spacing w:before="40" w:after="70" w:line="270" w:lineRule="auto"/>
      </w:pPr>
      <w:r>
        <w:t>This Agreement is not, and nothing exchanged under it is, an offer to sell or a solicitation of an offer to buy any security. Any offering is made solely through the Company’s Confidential Private Placement Memorandum and subscription documents under Rule 506(c) of Regulation D, and is limited to verified accredited investors. All projections shared are modeled estimates, not guarantees.</w:t>
      </w:r>
    </w:p>
    <w:p w14:paraId="7143C6FD" w14:textId="77777777" w:rsidR="00C602AA" w:rsidRDefault="00000000">
      <w:pPr>
        <w:spacing w:before="140" w:after="30"/>
      </w:pPr>
      <w:r>
        <w:rPr>
          <w:b/>
          <w:bCs/>
          <w:color w:val="1F2A44"/>
        </w:rPr>
        <w:t>9.  No License; No Obligation</w:t>
      </w:r>
    </w:p>
    <w:p w14:paraId="5035BCC3" w14:textId="77777777" w:rsidR="00C602AA" w:rsidRDefault="00000000">
      <w:pPr>
        <w:spacing w:before="40" w:after="70" w:line="270" w:lineRule="auto"/>
      </w:pPr>
      <w:r>
        <w:t>No license or other right in any intellectual property is granted by disclosure. Nothing in this Agreement obligates either Party to proceed with any transaction, and each Party may terminate discussions at any time.</w:t>
      </w:r>
    </w:p>
    <w:p w14:paraId="38977190" w14:textId="77777777" w:rsidR="00C602AA" w:rsidRDefault="00000000">
      <w:pPr>
        <w:spacing w:before="140" w:after="30"/>
      </w:pPr>
      <w:r>
        <w:rPr>
          <w:b/>
          <w:bCs/>
          <w:color w:val="1F2A44"/>
        </w:rPr>
        <w:lastRenderedPageBreak/>
        <w:t>10.  Return or Destruction</w:t>
      </w:r>
    </w:p>
    <w:p w14:paraId="24EC6A4B" w14:textId="77777777" w:rsidR="00C602AA" w:rsidRDefault="00000000">
      <w:pPr>
        <w:spacing w:before="40" w:after="70" w:line="270" w:lineRule="auto"/>
      </w:pPr>
      <w:r>
        <w:t>Upon the Discloser’s written request, Recipient shall return or destroy the Confidential Information and certify the same, except for one archival copy retained for compliance and copies in routine backups, which remain subject to this Agreement.</w:t>
      </w:r>
    </w:p>
    <w:p w14:paraId="1CB695F1" w14:textId="77777777" w:rsidR="00C602AA" w:rsidRDefault="00000000">
      <w:pPr>
        <w:spacing w:before="140" w:after="30"/>
      </w:pPr>
      <w:r>
        <w:rPr>
          <w:b/>
          <w:bCs/>
          <w:color w:val="1F2A44"/>
        </w:rPr>
        <w:t>11.  Term &amp; Survival</w:t>
      </w:r>
    </w:p>
    <w:p w14:paraId="23A2F819" w14:textId="77777777" w:rsidR="00C602AA" w:rsidRDefault="00000000">
      <w:pPr>
        <w:spacing w:before="40" w:after="70" w:line="270" w:lineRule="auto"/>
      </w:pPr>
      <w:r>
        <w:t xml:space="preserve">This Agreement remains in effect for </w:t>
      </w:r>
      <w:r>
        <w:rPr>
          <w:b/>
          <w:bCs/>
        </w:rPr>
        <w:t>[two (2)] years</w:t>
      </w:r>
      <w:r>
        <w:t xml:space="preserve">; confidentiality obligations survive for </w:t>
      </w:r>
      <w:r>
        <w:rPr>
          <w:b/>
          <w:bCs/>
        </w:rPr>
        <w:t>[three (3)] years</w:t>
      </w:r>
      <w:r>
        <w:t xml:space="preserve"> from the date of disclosure (or, for trade secrets, for as long as they remain trade secrets under applicable law).</w:t>
      </w:r>
    </w:p>
    <w:p w14:paraId="3E149DBD" w14:textId="77777777" w:rsidR="00C602AA" w:rsidRDefault="00000000">
      <w:pPr>
        <w:spacing w:before="140" w:after="30"/>
      </w:pPr>
      <w:r>
        <w:rPr>
          <w:b/>
          <w:bCs/>
          <w:color w:val="1F2A44"/>
        </w:rPr>
        <w:t>12.  Remedies</w:t>
      </w:r>
    </w:p>
    <w:p w14:paraId="37F44084" w14:textId="77777777" w:rsidR="00C602AA" w:rsidRDefault="00000000">
      <w:pPr>
        <w:spacing w:before="40" w:after="70" w:line="270" w:lineRule="auto"/>
      </w:pPr>
      <w:r>
        <w:t>The Parties agree that money damages may be inadequate for a breach and that the non-breaching Party is entitled to seek injunctive and other equitable relief, in addition to any other remedies at law or equity, without the necessity of posting a bond.</w:t>
      </w:r>
    </w:p>
    <w:p w14:paraId="305BCE2A" w14:textId="77777777" w:rsidR="00C602AA" w:rsidRDefault="00000000">
      <w:pPr>
        <w:spacing w:before="140" w:after="30"/>
      </w:pPr>
      <w:r>
        <w:rPr>
          <w:b/>
          <w:bCs/>
          <w:color w:val="1F2A44"/>
        </w:rPr>
        <w:t>13.  Governing Law &amp; Venue</w:t>
      </w:r>
    </w:p>
    <w:p w14:paraId="4D00DC4D" w14:textId="77777777" w:rsidR="00C602AA" w:rsidRDefault="00000000">
      <w:pPr>
        <w:spacing w:before="40" w:after="70" w:line="270" w:lineRule="auto"/>
      </w:pPr>
      <w:r>
        <w:t xml:space="preserve">This Agreement is governed by the laws of </w:t>
      </w:r>
      <w:r>
        <w:rPr>
          <w:b/>
          <w:bCs/>
        </w:rPr>
        <w:t>[State of Illinois / Delaware]</w:t>
      </w:r>
      <w:r>
        <w:t xml:space="preserve">, without regard to conflicts of law, and the Parties consent to venue in </w:t>
      </w:r>
      <w:r>
        <w:rPr>
          <w:b/>
          <w:bCs/>
        </w:rPr>
        <w:t>[County/State]</w:t>
      </w:r>
      <w:r>
        <w:t>.</w:t>
      </w:r>
    </w:p>
    <w:p w14:paraId="351054E8" w14:textId="77777777" w:rsidR="00C602AA" w:rsidRDefault="00000000">
      <w:pPr>
        <w:spacing w:before="140" w:after="30"/>
      </w:pPr>
      <w:r>
        <w:rPr>
          <w:b/>
          <w:bCs/>
          <w:color w:val="1F2A44"/>
        </w:rPr>
        <w:t>14.  Miscellaneous</w:t>
      </w:r>
    </w:p>
    <w:p w14:paraId="4E962771" w14:textId="77777777" w:rsidR="00C602AA" w:rsidRDefault="00000000">
      <w:pPr>
        <w:spacing w:before="40" w:after="70" w:line="270" w:lineRule="auto"/>
      </w:pPr>
      <w:r>
        <w:t>This Agreement is the entire understanding on its subject matter and supersedes prior discussions; it may be amended only in writing signed by both Parties; no waiver is implied by any failure to enforce; it may not be assigned without consent (except to an affiliate or in a corporate reorganization); and it may be executed in counterparts, including by electronic signature. If any provision is unenforceable, the remainder stays in effect.</w:t>
      </w:r>
    </w:p>
    <w:p w14:paraId="7173E7C0" w14:textId="77777777" w:rsidR="00C602AA" w:rsidRDefault="00000000">
      <w:pPr>
        <w:spacing w:before="220" w:after="30"/>
      </w:pPr>
      <w:r>
        <w:rPr>
          <w:b/>
          <w:bCs/>
        </w:rPr>
        <w:t>Agreed and accepted:</w:t>
      </w:r>
    </w:p>
    <w:tbl>
      <w:tblPr>
        <w:tblW w:w="10224" w:type="dxa"/>
        <w:tblCellMar>
          <w:left w:w="10" w:type="dxa"/>
          <w:right w:w="10" w:type="dxa"/>
        </w:tblCellMar>
        <w:tblLook w:val="0000" w:firstRow="0" w:lastRow="0" w:firstColumn="0" w:lastColumn="0" w:noHBand="0" w:noVBand="0"/>
      </w:tblPr>
      <w:tblGrid>
        <w:gridCol w:w="5112"/>
        <w:gridCol w:w="5112"/>
      </w:tblGrid>
      <w:tr w:rsidR="00C602AA" w14:paraId="654625BA" w14:textId="77777777">
        <w:tblPrEx>
          <w:tblCellMar>
            <w:top w:w="0" w:type="dxa"/>
            <w:bottom w:w="0" w:type="dxa"/>
          </w:tblCellMar>
        </w:tblPrEx>
        <w:tc>
          <w:tcPr>
            <w:tcW w:w="5112" w:type="dxa"/>
            <w:tcMar>
              <w:top w:w="54" w:type="dxa"/>
              <w:left w:w="110" w:type="dxa"/>
              <w:bottom w:w="54" w:type="dxa"/>
              <w:right w:w="110" w:type="dxa"/>
            </w:tcMar>
          </w:tcPr>
          <w:p w14:paraId="068E9874" w14:textId="77777777" w:rsidR="00C602AA" w:rsidRDefault="00000000">
            <w:pPr>
              <w:spacing w:before="260"/>
            </w:pPr>
            <w:r>
              <w:rPr>
                <w:b/>
                <w:bCs/>
                <w:sz w:val="18"/>
                <w:szCs w:val="18"/>
              </w:rPr>
              <w:t>MEGALODOME GOLF INC. / FUND I LLC</w:t>
            </w:r>
          </w:p>
          <w:p w14:paraId="277B5C9B" w14:textId="77777777" w:rsidR="00C602AA" w:rsidRDefault="00000000">
            <w:pPr>
              <w:spacing w:before="300"/>
            </w:pPr>
            <w:r>
              <w:rPr>
                <w:sz w:val="18"/>
                <w:szCs w:val="18"/>
              </w:rPr>
              <w:t>By: ____________________________</w:t>
            </w:r>
          </w:p>
          <w:p w14:paraId="429C5E35" w14:textId="77777777" w:rsidR="00C602AA" w:rsidRDefault="00000000">
            <w:pPr>
              <w:spacing w:before="80"/>
            </w:pPr>
            <w:r>
              <w:rPr>
                <w:color w:val="6B6B6B"/>
                <w:sz w:val="18"/>
                <w:szCs w:val="18"/>
              </w:rPr>
              <w:t xml:space="preserve">Name / Title: </w:t>
            </w:r>
            <w:proofErr w:type="gramStart"/>
            <w:r>
              <w:rPr>
                <w:color w:val="6B6B6B"/>
                <w:sz w:val="18"/>
                <w:szCs w:val="18"/>
              </w:rPr>
              <w:t>[ ]</w:t>
            </w:r>
            <w:proofErr w:type="gramEnd"/>
          </w:p>
          <w:p w14:paraId="03D6DE11" w14:textId="77777777" w:rsidR="00C602AA" w:rsidRDefault="00000000">
            <w:pPr>
              <w:spacing w:before="80"/>
            </w:pPr>
            <w:r>
              <w:rPr>
                <w:color w:val="6B6B6B"/>
                <w:sz w:val="18"/>
                <w:szCs w:val="18"/>
              </w:rPr>
              <w:t xml:space="preserve">Date: </w:t>
            </w:r>
            <w:proofErr w:type="gramStart"/>
            <w:r>
              <w:rPr>
                <w:color w:val="6B6B6B"/>
                <w:sz w:val="18"/>
                <w:szCs w:val="18"/>
              </w:rPr>
              <w:t>[ ]</w:t>
            </w:r>
            <w:proofErr w:type="gramEnd"/>
          </w:p>
        </w:tc>
        <w:tc>
          <w:tcPr>
            <w:tcW w:w="5112" w:type="dxa"/>
            <w:tcMar>
              <w:top w:w="54" w:type="dxa"/>
              <w:left w:w="110" w:type="dxa"/>
              <w:bottom w:w="54" w:type="dxa"/>
              <w:right w:w="110" w:type="dxa"/>
            </w:tcMar>
          </w:tcPr>
          <w:p w14:paraId="6511D83D" w14:textId="77777777" w:rsidR="00C602AA" w:rsidRDefault="00000000">
            <w:pPr>
              <w:spacing w:before="260"/>
            </w:pPr>
            <w:r>
              <w:rPr>
                <w:b/>
                <w:bCs/>
                <w:sz w:val="18"/>
                <w:szCs w:val="18"/>
              </w:rPr>
              <w:t>COUNTERPARTY</w:t>
            </w:r>
          </w:p>
          <w:p w14:paraId="78A1807C" w14:textId="77777777" w:rsidR="00C602AA" w:rsidRDefault="00000000">
            <w:pPr>
              <w:spacing w:before="300"/>
            </w:pPr>
            <w:r>
              <w:rPr>
                <w:sz w:val="18"/>
                <w:szCs w:val="18"/>
              </w:rPr>
              <w:t>By: ____________________________</w:t>
            </w:r>
          </w:p>
          <w:p w14:paraId="66CB1D90" w14:textId="77777777" w:rsidR="00C602AA" w:rsidRDefault="00000000">
            <w:pPr>
              <w:spacing w:before="80"/>
            </w:pPr>
            <w:r>
              <w:rPr>
                <w:color w:val="6B6B6B"/>
                <w:sz w:val="18"/>
                <w:szCs w:val="18"/>
              </w:rPr>
              <w:t xml:space="preserve">Name / Title: </w:t>
            </w:r>
            <w:proofErr w:type="gramStart"/>
            <w:r>
              <w:rPr>
                <w:color w:val="6B6B6B"/>
                <w:sz w:val="18"/>
                <w:szCs w:val="18"/>
              </w:rPr>
              <w:t>[ ]</w:t>
            </w:r>
            <w:proofErr w:type="gramEnd"/>
          </w:p>
          <w:p w14:paraId="193A1BB8" w14:textId="77777777" w:rsidR="00C602AA" w:rsidRDefault="00000000">
            <w:pPr>
              <w:spacing w:before="80"/>
            </w:pPr>
            <w:r>
              <w:rPr>
                <w:color w:val="6B6B6B"/>
                <w:sz w:val="18"/>
                <w:szCs w:val="18"/>
              </w:rPr>
              <w:t xml:space="preserve">Date: </w:t>
            </w:r>
            <w:proofErr w:type="gramStart"/>
            <w:r>
              <w:rPr>
                <w:color w:val="6B6B6B"/>
                <w:sz w:val="18"/>
                <w:szCs w:val="18"/>
              </w:rPr>
              <w:t>[ ]</w:t>
            </w:r>
            <w:proofErr w:type="gramEnd"/>
          </w:p>
        </w:tc>
      </w:tr>
    </w:tbl>
    <w:p w14:paraId="4F224023" w14:textId="77777777" w:rsidR="00C602AA" w:rsidRDefault="00000000">
      <w:pPr>
        <w:pBdr>
          <w:top w:val="single" w:sz="4" w:space="8" w:color="DFCE9D"/>
        </w:pBdr>
        <w:spacing w:before="200" w:line="222" w:lineRule="auto"/>
      </w:pPr>
      <w:r>
        <w:rPr>
          <w:i/>
          <w:iCs/>
          <w:color w:val="6B6B6B"/>
          <w:sz w:val="14"/>
          <w:szCs w:val="14"/>
        </w:rPr>
        <w:t>DRAFT for discussion only — not legal advice. Bond Conway Law to review, complete bracketed terms, set governing law, and approve before any use. Bracketed durations are placeholders.</w:t>
      </w:r>
    </w:p>
    <w:sectPr w:rsidR="00C602AA">
      <w:pgSz w:w="12240" w:h="15840"/>
      <w:pgMar w:top="1008"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morant Garamon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50EE6"/>
    <w:multiLevelType w:val="hybridMultilevel"/>
    <w:tmpl w:val="74542644"/>
    <w:lvl w:ilvl="0" w:tplc="55F2A476">
      <w:start w:val="1"/>
      <w:numFmt w:val="decimal"/>
      <w:lvlText w:val="%1."/>
      <w:lvlJc w:val="left"/>
      <w:pPr>
        <w:ind w:left="520" w:hanging="340"/>
      </w:pPr>
    </w:lvl>
    <w:lvl w:ilvl="1" w:tplc="E5661714">
      <w:numFmt w:val="decimal"/>
      <w:lvlText w:val=""/>
      <w:lvlJc w:val="left"/>
    </w:lvl>
    <w:lvl w:ilvl="2" w:tplc="E37CB3C2">
      <w:numFmt w:val="decimal"/>
      <w:lvlText w:val=""/>
      <w:lvlJc w:val="left"/>
    </w:lvl>
    <w:lvl w:ilvl="3" w:tplc="D172A362">
      <w:numFmt w:val="decimal"/>
      <w:lvlText w:val=""/>
      <w:lvlJc w:val="left"/>
    </w:lvl>
    <w:lvl w:ilvl="4" w:tplc="688C2A32">
      <w:numFmt w:val="decimal"/>
      <w:lvlText w:val=""/>
      <w:lvlJc w:val="left"/>
    </w:lvl>
    <w:lvl w:ilvl="5" w:tplc="0CBA859E">
      <w:numFmt w:val="decimal"/>
      <w:lvlText w:val=""/>
      <w:lvlJc w:val="left"/>
    </w:lvl>
    <w:lvl w:ilvl="6" w:tplc="A204E78C">
      <w:numFmt w:val="decimal"/>
      <w:lvlText w:val=""/>
      <w:lvlJc w:val="left"/>
    </w:lvl>
    <w:lvl w:ilvl="7" w:tplc="8C6A4F8A">
      <w:numFmt w:val="decimal"/>
      <w:lvlText w:val=""/>
      <w:lvlJc w:val="left"/>
    </w:lvl>
    <w:lvl w:ilvl="8" w:tplc="C492A9C2">
      <w:numFmt w:val="decimal"/>
      <w:lvlText w:val=""/>
      <w:lvlJc w:val="left"/>
    </w:lvl>
  </w:abstractNum>
  <w:abstractNum w:abstractNumId="1" w15:restartNumberingAfterBreak="0">
    <w:nsid w:val="5B2F75AB"/>
    <w:multiLevelType w:val="hybridMultilevel"/>
    <w:tmpl w:val="9FF4D8C6"/>
    <w:lvl w:ilvl="0" w:tplc="9E2C7068">
      <w:start w:val="1"/>
      <w:numFmt w:val="bullet"/>
      <w:lvlText w:val="●"/>
      <w:lvlJc w:val="left"/>
      <w:pPr>
        <w:ind w:left="720" w:hanging="360"/>
      </w:pPr>
    </w:lvl>
    <w:lvl w:ilvl="1" w:tplc="D22EEBF4">
      <w:start w:val="1"/>
      <w:numFmt w:val="bullet"/>
      <w:lvlText w:val="○"/>
      <w:lvlJc w:val="left"/>
      <w:pPr>
        <w:ind w:left="1440" w:hanging="360"/>
      </w:pPr>
    </w:lvl>
    <w:lvl w:ilvl="2" w:tplc="8D92B0D0">
      <w:start w:val="1"/>
      <w:numFmt w:val="bullet"/>
      <w:lvlText w:val="■"/>
      <w:lvlJc w:val="left"/>
      <w:pPr>
        <w:ind w:left="2160" w:hanging="360"/>
      </w:pPr>
    </w:lvl>
    <w:lvl w:ilvl="3" w:tplc="91C0DEF0">
      <w:start w:val="1"/>
      <w:numFmt w:val="bullet"/>
      <w:lvlText w:val="●"/>
      <w:lvlJc w:val="left"/>
      <w:pPr>
        <w:ind w:left="2880" w:hanging="360"/>
      </w:pPr>
    </w:lvl>
    <w:lvl w:ilvl="4" w:tplc="544AEF4E">
      <w:start w:val="1"/>
      <w:numFmt w:val="bullet"/>
      <w:lvlText w:val="○"/>
      <w:lvlJc w:val="left"/>
      <w:pPr>
        <w:ind w:left="3600" w:hanging="360"/>
      </w:pPr>
    </w:lvl>
    <w:lvl w:ilvl="5" w:tplc="39A26324">
      <w:start w:val="1"/>
      <w:numFmt w:val="bullet"/>
      <w:lvlText w:val="■"/>
      <w:lvlJc w:val="left"/>
      <w:pPr>
        <w:ind w:left="4320" w:hanging="360"/>
      </w:pPr>
    </w:lvl>
    <w:lvl w:ilvl="6" w:tplc="CD9C7BE4">
      <w:start w:val="1"/>
      <w:numFmt w:val="bullet"/>
      <w:lvlText w:val="●"/>
      <w:lvlJc w:val="left"/>
      <w:pPr>
        <w:ind w:left="5040" w:hanging="360"/>
      </w:pPr>
    </w:lvl>
    <w:lvl w:ilvl="7" w:tplc="68DC5AC2">
      <w:start w:val="1"/>
      <w:numFmt w:val="bullet"/>
      <w:lvlText w:val="●"/>
      <w:lvlJc w:val="left"/>
      <w:pPr>
        <w:ind w:left="5760" w:hanging="360"/>
      </w:pPr>
    </w:lvl>
    <w:lvl w:ilvl="8" w:tplc="3196C200">
      <w:start w:val="1"/>
      <w:numFmt w:val="bullet"/>
      <w:lvlText w:val="●"/>
      <w:lvlJc w:val="left"/>
      <w:pPr>
        <w:ind w:left="6480" w:hanging="360"/>
      </w:pPr>
    </w:lvl>
  </w:abstractNum>
  <w:num w:numId="1" w16cid:durableId="18866040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AA"/>
    <w:rsid w:val="0093718F"/>
    <w:rsid w:val="00972BEB"/>
    <w:rsid w:val="00C602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064D"/>
  <w15:docId w15:val="{7B81DA24-CCF1-4EF3-A3EC-518A016E5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CB5E477540964E8F626A688AAD728E" ma:contentTypeVersion="14" ma:contentTypeDescription="Create a new document." ma:contentTypeScope="" ma:versionID="6c1c305a94a89f2041ba7b69dcb70855">
  <xsd:schema xmlns:xsd="http://www.w3.org/2001/XMLSchema" xmlns:xs="http://www.w3.org/2001/XMLSchema" xmlns:p="http://schemas.microsoft.com/office/2006/metadata/properties" xmlns:ns2="234de5ca-b4f8-4058-b9f6-459763652aff" xmlns:ns3="835f4433-dd77-4c52-bb0b-bde5e23e02d4" targetNamespace="http://schemas.microsoft.com/office/2006/metadata/properties" ma:root="true" ma:fieldsID="17427eedb5981284c077e88e6af5560e" ns2:_="" ns3:_="">
    <xsd:import namespace="234de5ca-b4f8-4058-b9f6-459763652aff"/>
    <xsd:import namespace="835f4433-dd77-4c52-bb0b-bde5e23e0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de5ca-b4f8-4058-b9f6-459763652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e1480b-bd3f-4ba3-909e-28113204a6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5f4433-dd77-4c52-bb0b-bde5e23e02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7d96b5-36a5-4f4d-ab1c-87f745630bd6}" ma:internalName="TaxCatchAll" ma:showField="CatchAllData" ma:web="835f4433-dd77-4c52-bb0b-bde5e23e02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35f4433-dd77-4c52-bb0b-bde5e23e02d4" xsi:nil="true"/>
    <lcf76f155ced4ddcb4097134ff3c332f xmlns="234de5ca-b4f8-4058-b9f6-459763652a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011BD5-8BA5-4D24-98C1-AA476B8F7C5A}"/>
</file>

<file path=customXml/itemProps2.xml><?xml version="1.0" encoding="utf-8"?>
<ds:datastoreItem xmlns:ds="http://schemas.openxmlformats.org/officeDocument/2006/customXml" ds:itemID="{EC7B3618-DE33-4FE0-9158-3CB910DCED96}"/>
</file>

<file path=customXml/itemProps3.xml><?xml version="1.0" encoding="utf-8"?>
<ds:datastoreItem xmlns:ds="http://schemas.openxmlformats.org/officeDocument/2006/customXml" ds:itemID="{4F1D1EC2-8B1D-4640-9032-CA0263523894}"/>
</file>

<file path=docProps/app.xml><?xml version="1.0" encoding="utf-8"?>
<Properties xmlns="http://schemas.openxmlformats.org/officeDocument/2006/extended-properties" xmlns:vt="http://schemas.openxmlformats.org/officeDocument/2006/docPropsVTypes">
  <Template>Normal</Template>
  <TotalTime>0</TotalTime>
  <Pages>2</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Sports Dome</cp:lastModifiedBy>
  <cp:revision>2</cp:revision>
  <dcterms:created xsi:type="dcterms:W3CDTF">2026-06-30T15:10:00Z</dcterms:created>
  <dcterms:modified xsi:type="dcterms:W3CDTF">2026-07-16T22:22:00Z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0x010100F1CB5E477540964E8F626A688AAD728E</vt:lpwstr>
  </property>
</Properties>
</file>