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 w:before="0" w:line="230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aps w:val="false"/>
          <w:color w:val="2E2E2E"/>
          <w:spacing w:val="22"/>
          <w:sz w:val="34"/>
          <w:szCs w:val="34"/>
        </w:rPr>
        <w:t xml:space="preserve">MEGALODOME GOLF</w:t>
      </w:r>
    </w:p>
    <w:p>
      <w:pPr>
        <w:spacing w:after="50" w:before="0" w:line="23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DFCE9D"/>
          <w:spacing w:val="26"/>
          <w:sz w:val="16"/>
          <w:szCs w:val="16"/>
        </w:rPr>
        <w:t xml:space="preserve">INVESTOR PRO-FORMA — SUMMARY  ·  CHICAGO WEST FLAGSHIP</w:t>
      </w:r>
    </w:p>
    <w:p>
      <w:pPr>
        <w:spacing w:after="120" w:before="0" w:line="23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B6B"/>
          <w:sz w:val="16"/>
          <w:szCs w:val="16"/>
        </w:rPr>
        <w:t xml:space="preserve">One-page synthesis of the restructured capital stack, five-year P&amp;L, returns, and exit. Figures tie to the Investor Pro-Forma workbook; modeled estimates, not guarantees.</w:t>
      </w:r>
    </w:p>
    <w:tbl>
      <w:tblPr>
        <w:tblW w:type="dxa" w:w="10512"/>
        <w:tblBorders>
          <w:top w:val="single" w:color="E2DCCE" w:sz="1"/>
          <w:left w:val="single" w:color="E2DCCE" w:sz="1"/>
          <w:bottom w:val="single" w:color="E2DCCE" w:sz="1"/>
          <w:right w:val="single" w:color="E2DCCE" w:sz="1"/>
          <w:insideH w:val="single" w:color="E2DCCE" w:sz="1"/>
          <w:insideV w:val="single" w:color="E2DCCE" w:sz="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2E2E2E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spacing w:after="14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EDCA7"/>
                <w:sz w:val="30"/>
                <w:szCs w:val="30"/>
              </w:rPr>
              <w:t xml:space="preserve">$77.0M</w:t>
            </w:r>
          </w:p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pacing w:val="6"/>
                <w:sz w:val="12"/>
                <w:szCs w:val="12"/>
              </w:rPr>
              <w:t xml:space="preserve">Total Cap</w:t>
            </w:r>
          </w:p>
        </w:tc>
        <w:tc>
          <w:tcPr>
            <w:tcW w:type="dxa" w:w="1752"/>
            <w:shd w:fill="1F2A44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spacing w:after="14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EDCA7"/>
                <w:sz w:val="30"/>
                <w:szCs w:val="30"/>
              </w:rPr>
              <w:t xml:space="preserve">$25.0M</w:t>
            </w:r>
          </w:p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pacing w:val="6"/>
                <w:sz w:val="12"/>
                <w:szCs w:val="12"/>
              </w:rPr>
              <w:t xml:space="preserve">Equity</w:t>
            </w:r>
          </w:p>
        </w:tc>
        <w:tc>
          <w:tcPr>
            <w:tcW w:type="dxa" w:w="1752"/>
            <w:shd w:fill="2E2E2E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spacing w:after="14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EDCA7"/>
                <w:sz w:val="30"/>
                <w:szCs w:val="30"/>
              </w:rPr>
              <w:t xml:space="preserve">$52.0M</w:t>
            </w:r>
          </w:p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pacing w:val="6"/>
                <w:sz w:val="12"/>
                <w:szCs w:val="12"/>
              </w:rPr>
              <w:t xml:space="preserve">Debt</w:t>
            </w:r>
          </w:p>
        </w:tc>
        <w:tc>
          <w:tcPr>
            <w:tcW w:type="dxa" w:w="1752"/>
            <w:shd w:fill="1F2A44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spacing w:after="14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EDCA7"/>
                <w:sz w:val="30"/>
                <w:szCs w:val="30"/>
              </w:rPr>
              <w:t xml:space="preserve">19.7%</w:t>
            </w:r>
          </w:p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pacing w:val="6"/>
                <w:sz w:val="12"/>
                <w:szCs w:val="12"/>
              </w:rPr>
              <w:t xml:space="preserve">Blended IRR</w:t>
            </w:r>
          </w:p>
        </w:tc>
        <w:tc>
          <w:tcPr>
            <w:tcW w:type="dxa" w:w="1752"/>
            <w:shd w:fill="2E2E2E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spacing w:after="14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EDCA7"/>
                <w:sz w:val="30"/>
                <w:szCs w:val="30"/>
              </w:rPr>
              <w:t xml:space="preserve">2.35x</w:t>
            </w:r>
          </w:p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pacing w:val="6"/>
                <w:sz w:val="12"/>
                <w:szCs w:val="12"/>
              </w:rPr>
              <w:t xml:space="preserve">Blended MOIC</w:t>
            </w:r>
          </w:p>
        </w:tc>
        <w:tc>
          <w:tcPr>
            <w:tcW w:type="dxa" w:w="1752"/>
            <w:shd w:fill="1F2A44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spacing w:after="14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EDCA7"/>
                <w:sz w:val="30"/>
                <w:szCs w:val="30"/>
              </w:rPr>
              <w:t xml:space="preserve">$15.0M</w:t>
            </w:r>
          </w:p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FFFFFF"/>
                <w:spacing w:val="6"/>
                <w:sz w:val="12"/>
                <w:szCs w:val="12"/>
              </w:rPr>
              <w:t xml:space="preserve">Yr-5 EBITDA</w:t>
            </w:r>
          </w:p>
        </w:tc>
      </w:tr>
    </w:tbl>
    <w:p>
      <w:pPr>
        <w:spacing w:after="80" w:before="0" w:line="23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18"/>
          <w:szCs w:val="18"/>
        </w:rPr>
        <w:t xml:space="preserve"/>
      </w:r>
    </w:p>
    <w:p>
      <w:pPr>
        <w:spacing w:after="50" w:before="0" w:line="23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E2E2E"/>
          <w:spacing w:val="10"/>
          <w:sz w:val="18"/>
          <w:szCs w:val="18"/>
        </w:rPr>
        <w:t xml:space="preserve">FIVE-YEAR P&amp;L &amp; COVERAGE</w:t>
      </w:r>
    </w:p>
    <w:tbl>
      <w:tblPr>
        <w:tblW w:type="dxa" w:w="10512"/>
        <w:tblBorders>
          <w:top w:val="single" w:color="E2DCCE" w:sz="1"/>
          <w:left w:val="single" w:color="E2DCCE" w:sz="1"/>
          <w:bottom w:val="single" w:color="E2DCCE" w:sz="1"/>
          <w:right w:val="single" w:color="E2DCCE" w:sz="1"/>
          <w:insideH w:val="single" w:color="E2DCCE" w:sz="1"/>
          <w:insideV w:val="single" w:color="E2DCCE" w:sz="1"/>
        </w:tblBorders>
      </w:tblPr>
      <w:tblGrid>
        <w:gridCol w:w="2712"/>
        <w:gridCol w:w="1560"/>
        <w:gridCol w:w="1560"/>
        <w:gridCol w:w="1560"/>
        <w:gridCol w:w="1560"/>
        <w:gridCol w:w="1560"/>
      </w:tblGrid>
      <w:tr>
        <w:tc>
          <w:tcPr>
            <w:tcW w:type="dxa" w:w="2712"/>
            <w:shd w:fill="1F2A44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USD $M</w:t>
            </w:r>
          </w:p>
        </w:tc>
        <w:tc>
          <w:tcPr>
            <w:tcW w:type="dxa" w:w="1560"/>
            <w:shd w:fill="1F2A44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FY2027</w:t>
            </w:r>
          </w:p>
        </w:tc>
        <w:tc>
          <w:tcPr>
            <w:tcW w:type="dxa" w:w="1560"/>
            <w:shd w:fill="1F2A44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FY2028</w:t>
            </w:r>
          </w:p>
        </w:tc>
        <w:tc>
          <w:tcPr>
            <w:tcW w:type="dxa" w:w="1560"/>
            <w:shd w:fill="1F2A44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FY2029</w:t>
            </w:r>
          </w:p>
        </w:tc>
        <w:tc>
          <w:tcPr>
            <w:tcW w:type="dxa" w:w="1560"/>
            <w:shd w:fill="1F2A44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FY2030</w:t>
            </w:r>
          </w:p>
        </w:tc>
        <w:tc>
          <w:tcPr>
            <w:tcW w:type="dxa" w:w="1560"/>
            <w:shd w:fill="1F2A44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FY2031</w:t>
            </w:r>
          </w:p>
        </w:tc>
      </w:tr>
      <w:tr>
        <w:tc>
          <w:tcPr>
            <w:tcW w:type="dxa" w:w="2712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Total revenue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8.4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22.3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23.0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23.6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24.3</w:t>
            </w:r>
          </w:p>
        </w:tc>
      </w:tr>
      <w:tr>
        <w:tc>
          <w:tcPr>
            <w:tcW w:type="dxa" w:w="2712"/>
            <w:shd w:fill="EEDCA7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EBITDA</w:t>
            </w:r>
          </w:p>
        </w:tc>
        <w:tc>
          <w:tcPr>
            <w:tcW w:type="dxa" w:w="1560"/>
            <w:shd w:fill="EEDCA7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5.0</w:t>
            </w:r>
          </w:p>
        </w:tc>
        <w:tc>
          <w:tcPr>
            <w:tcW w:type="dxa" w:w="1560"/>
            <w:shd w:fill="EEDCA7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13.5</w:t>
            </w:r>
          </w:p>
        </w:tc>
        <w:tc>
          <w:tcPr>
            <w:tcW w:type="dxa" w:w="1560"/>
            <w:shd w:fill="EEDCA7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14.1</w:t>
            </w:r>
          </w:p>
        </w:tc>
        <w:tc>
          <w:tcPr>
            <w:tcW w:type="dxa" w:w="1560"/>
            <w:shd w:fill="EEDCA7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14.5</w:t>
            </w:r>
          </w:p>
        </w:tc>
        <w:tc>
          <w:tcPr>
            <w:tcW w:type="dxa" w:w="1560"/>
            <w:shd w:fill="EEDCA7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15.0</w:t>
            </w:r>
          </w:p>
        </w:tc>
      </w:tr>
      <w:tr>
        <w:tc>
          <w:tcPr>
            <w:tcW w:type="dxa" w:w="2712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60.4%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60.5%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61.3%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61.6%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61.8%</w:t>
            </w:r>
          </w:p>
        </w:tc>
      </w:tr>
      <w:tr>
        <w:tc>
          <w:tcPr>
            <w:tcW w:type="dxa" w:w="2712"/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Interest expense</w:t>
            </w:r>
          </w:p>
        </w:tc>
        <w:tc>
          <w:tcPr>
            <w:tcW w:type="dxa" w:w="1560"/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(4.4)</w:t>
            </w:r>
          </w:p>
        </w:tc>
        <w:tc>
          <w:tcPr>
            <w:tcW w:type="dxa" w:w="1560"/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(4.3)</w:t>
            </w:r>
          </w:p>
        </w:tc>
        <w:tc>
          <w:tcPr>
            <w:tcW w:type="dxa" w:w="1560"/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(4.0)</w:t>
            </w:r>
          </w:p>
        </w:tc>
        <w:tc>
          <w:tcPr>
            <w:tcW w:type="dxa" w:w="1560"/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(3.5)</w:t>
            </w:r>
          </w:p>
        </w:tc>
        <w:tc>
          <w:tcPr>
            <w:tcW w:type="dxa" w:w="1560"/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(3.0)</w:t>
            </w:r>
          </w:p>
        </w:tc>
      </w:tr>
      <w:tr>
        <w:tc>
          <w:tcPr>
            <w:tcW w:type="dxa" w:w="2712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EBT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(0.1)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6.3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7.1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8.1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9.0</w:t>
            </w:r>
          </w:p>
        </w:tc>
      </w:tr>
      <w:tr>
        <w:tc>
          <w:tcPr>
            <w:tcW w:type="dxa" w:w="2712"/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DSCR (×)</w:t>
            </w:r>
          </w:p>
        </w:tc>
        <w:tc>
          <w:tcPr>
            <w:tcW w:type="dxa" w:w="1560"/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0.88</w:t>
            </w:r>
          </w:p>
        </w:tc>
        <w:tc>
          <w:tcPr>
            <w:tcW w:type="dxa" w:w="1560"/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2.37</w:t>
            </w:r>
          </w:p>
        </w:tc>
        <w:tc>
          <w:tcPr>
            <w:tcW w:type="dxa" w:w="1560"/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1.48</w:t>
            </w:r>
          </w:p>
        </w:tc>
        <w:tc>
          <w:tcPr>
            <w:tcW w:type="dxa" w:w="1560"/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1.58</w:t>
            </w:r>
          </w:p>
        </w:tc>
        <w:tc>
          <w:tcPr>
            <w:tcW w:type="dxa" w:w="1560"/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1.69</w:t>
            </w:r>
          </w:p>
        </w:tc>
      </w:tr>
    </w:tbl>
    <w:p>
      <w:pPr>
        <w:spacing w:after="90" w:before="0" w:line="23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18"/>
          <w:szCs w:val="18"/>
        </w:rPr>
        <w:t xml:space="preserve"/>
      </w:r>
    </w:p>
    <w:tbl>
      <w:tblPr>
        <w:tblW w:type="dxa" w:w="10512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56"/>
        <w:gridCol w:w="5256"/>
      </w:tblGrid>
      <w:tr>
        <w:tc>
          <w:tcPr>
            <w:tcW w:type="dxa" w:w="5256"/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5136"/>
              <w:tblBorders>
                <w:top w:val="single" w:color="E2DCCE" w:sz="1"/>
                <w:left w:val="single" w:color="E2DCCE" w:sz="1"/>
                <w:bottom w:val="single" w:color="E2DCCE" w:sz="1"/>
                <w:right w:val="single" w:color="E2DCCE" w:sz="1"/>
                <w:insideH w:val="single" w:color="E2DCCE" w:sz="1"/>
                <w:insideV w:val="single" w:color="E2DCCE" w:sz="1"/>
              </w:tblBorders>
            </w:tblPr>
            <w:tblGrid>
              <w:gridCol w:w="3184"/>
              <w:gridCol w:w="1952"/>
            </w:tblGrid>
            <w:tr>
              <w:tc>
                <w:tcPr>
                  <w:tcW w:type="dxa" w:w="5136"/>
                  <w:gridSpan w:val="2"/>
                  <w:shd w:fill="2E2E2E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FFFFFF"/>
                      <w:spacing w:val="14"/>
                      <w:sz w:val="16"/>
                      <w:szCs w:val="16"/>
                    </w:rPr>
                    <w:t xml:space="preserve">  Capital Stack</w:t>
                  </w:r>
                </w:p>
              </w:tc>
            </w:tr>
            <w:tr>
              <w:tc>
                <w:tcPr>
                  <w:tcW w:type="dxa" w:w="3184"/>
                  <w:shd w:fill="EEDCA7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Total capitalization</w:t>
                  </w:r>
                </w:p>
              </w:tc>
              <w:tc>
                <w:tcPr>
                  <w:tcW w:type="dxa" w:w="1952"/>
                  <w:shd w:fill="EEDCA7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$77.0M</w:t>
                  </w:r>
                </w:p>
              </w:tc>
            </w:tr>
            <w:tr>
              <w:tc>
                <w:tcPr>
                  <w:tcW w:type="dxa" w:w="3184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Fund — Class B preferred</w:t>
                  </w:r>
                </w:p>
              </w:tc>
              <w:tc>
                <w:tcPr>
                  <w:tcW w:type="dxa" w:w="1952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$10.0M</w:t>
                  </w:r>
                </w:p>
              </w:tc>
            </w:tr>
            <w:tr>
              <w:tc>
                <w:tcPr>
                  <w:tcW w:type="dxa" w:w="3184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Membership equity</w:t>
                  </w:r>
                </w:p>
              </w:tc>
              <w:tc>
                <w:tcPr>
                  <w:tcW w:type="dxa" w:w="1952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$10.0M</w:t>
                  </w:r>
                </w:p>
              </w:tc>
            </w:tr>
            <w:tr>
              <w:tc>
                <w:tcPr>
                  <w:tcW w:type="dxa" w:w="3184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Outside — direct 12.5%</w:t>
                  </w:r>
                </w:p>
              </w:tc>
              <w:tc>
                <w:tcPr>
                  <w:tcW w:type="dxa" w:w="1952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$5.0M</w:t>
                  </w:r>
                </w:p>
              </w:tc>
            </w:tr>
            <w:tr>
              <w:tc>
                <w:tcPr>
                  <w:tcW w:type="dxa" w:w="3184"/>
                  <w:shd w:fill="EEDCA7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Total equity</w:t>
                  </w:r>
                </w:p>
              </w:tc>
              <w:tc>
                <w:tcPr>
                  <w:tcW w:type="dxa" w:w="1952"/>
                  <w:shd w:fill="EEDCA7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$25.0M</w:t>
                  </w:r>
                </w:p>
              </w:tc>
            </w:tr>
            <w:tr>
              <w:tc>
                <w:tcPr>
                  <w:tcW w:type="dxa" w:w="3184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Bank senior loan @ 8.40%</w:t>
                  </w:r>
                </w:p>
              </w:tc>
              <w:tc>
                <w:tcPr>
                  <w:tcW w:type="dxa" w:w="1952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$40.0M</w:t>
                  </w:r>
                </w:p>
              </w:tc>
            </w:tr>
            <w:tr>
              <w:tc>
                <w:tcPr>
                  <w:tcW w:type="dxa" w:w="3184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Lease / equipment @ 8.50%</w:t>
                  </w:r>
                </w:p>
              </w:tc>
              <w:tc>
                <w:tcPr>
                  <w:tcW w:type="dxa" w:w="1952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$12.0M</w:t>
                  </w:r>
                </w:p>
              </w:tc>
            </w:tr>
            <w:tr>
              <w:tc>
                <w:tcPr>
                  <w:tcW w:type="dxa" w:w="3184"/>
                  <w:shd w:fill="EEDCA7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Total debt</w:t>
                  </w:r>
                </w:p>
              </w:tc>
              <w:tc>
                <w:tcPr>
                  <w:tcW w:type="dxa" w:w="1952"/>
                  <w:shd w:fill="EEDCA7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$52.0M</w:t>
                  </w:r>
                </w:p>
              </w:tc>
            </w:tr>
          </w:tbl>
          <w:p>
            <w:pPr>
              <w:spacing w:after="6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8"/>
                <w:szCs w:val="18"/>
              </w:rPr>
              <w:t xml:space="preserve"/>
            </w:r>
          </w:p>
          <w:tbl>
            <w:tblPr>
              <w:tblW w:type="dxa" w:w="5136"/>
              <w:tblBorders>
                <w:top w:val="single" w:color="E2DCCE" w:sz="1"/>
                <w:left w:val="single" w:color="E2DCCE" w:sz="1"/>
                <w:bottom w:val="single" w:color="E2DCCE" w:sz="1"/>
                <w:right w:val="single" w:color="E2DCCE" w:sz="1"/>
                <w:insideH w:val="single" w:color="E2DCCE" w:sz="1"/>
                <w:insideV w:val="single" w:color="E2DCCE" w:sz="1"/>
              </w:tblBorders>
            </w:tblPr>
            <w:tblGrid>
              <w:gridCol w:w="3184"/>
              <w:gridCol w:w="1952"/>
            </w:tblGrid>
            <w:tr>
              <w:tc>
                <w:tcPr>
                  <w:tcW w:type="dxa" w:w="5136"/>
                  <w:gridSpan w:val="2"/>
                  <w:shd w:fill="2E2E2E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FFFFFF"/>
                      <w:spacing w:val="14"/>
                      <w:sz w:val="16"/>
                      <w:szCs w:val="16"/>
                    </w:rPr>
                    <w:t xml:space="preserve">  Modeled Returns (5-yr hold)</w:t>
                  </w:r>
                </w:p>
              </w:tc>
            </w:tr>
            <w:tr>
              <w:tc>
                <w:tcPr>
                  <w:tcW w:type="dxa" w:w="3184"/>
                  <w:shd w:fill="EEDCA7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Blended — all investor equity</w:t>
                  </w:r>
                </w:p>
              </w:tc>
              <w:tc>
                <w:tcPr>
                  <w:tcW w:type="dxa" w:w="1952"/>
                  <w:shd w:fill="EEDCA7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19.7% · 2.35x</w:t>
                  </w:r>
                </w:p>
              </w:tc>
            </w:tr>
            <w:tr>
              <w:tc>
                <w:tcPr>
                  <w:tcW w:type="dxa" w:w="3184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Fund ($10M) / Membership ($10M)</w:t>
                  </w:r>
                </w:p>
              </w:tc>
              <w:tc>
                <w:tcPr>
                  <w:tcW w:type="dxa" w:w="1952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Fund 26.7%/3.07x · Memb 9.7%/1.53x</w:t>
                  </w:r>
                </w:p>
              </w:tc>
            </w:tr>
            <w:tr>
              <w:tc>
                <w:tcPr>
                  <w:tcW w:type="dxa" w:w="3184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Outside direct equity ($5M)</w:t>
                  </w:r>
                </w:p>
              </w:tc>
              <w:tc>
                <w:tcPr>
                  <w:tcW w:type="dxa" w:w="1952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20.8% · 2.57x</w:t>
                  </w:r>
                </w:p>
              </w:tc>
            </w:tr>
          </w:tbl>
          <w:p/>
        </w:tc>
        <w:tc>
          <w:tcPr>
            <w:tcW w:type="dxa" w:w="5256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136"/>
              <w:tblBorders>
                <w:top w:val="single" w:color="E2DCCE" w:sz="1"/>
                <w:left w:val="single" w:color="E2DCCE" w:sz="1"/>
                <w:bottom w:val="single" w:color="E2DCCE" w:sz="1"/>
                <w:right w:val="single" w:color="E2DCCE" w:sz="1"/>
                <w:insideH w:val="single" w:color="E2DCCE" w:sz="1"/>
                <w:insideV w:val="single" w:color="E2DCCE" w:sz="1"/>
              </w:tblBorders>
            </w:tblPr>
            <w:tblGrid>
              <w:gridCol w:w="3184"/>
              <w:gridCol w:w="1952"/>
            </w:tblGrid>
            <w:tr>
              <w:tc>
                <w:tcPr>
                  <w:tcW w:type="dxa" w:w="5136"/>
                  <w:gridSpan w:val="2"/>
                  <w:shd w:fill="2E2E2E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FFFFFF"/>
                      <w:spacing w:val="14"/>
                      <w:sz w:val="16"/>
                      <w:szCs w:val="16"/>
                    </w:rPr>
                    <w:t xml:space="preserve">  Sources &amp; Uses</w:t>
                  </w:r>
                </w:p>
              </w:tc>
            </w:tr>
            <w:tr>
              <w:tc>
                <w:tcPr>
                  <w:tcW w:type="dxa" w:w="3184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Equity (3 tranches)</w:t>
                  </w:r>
                </w:p>
              </w:tc>
              <w:tc>
                <w:tcPr>
                  <w:tcW w:type="dxa" w:w="1952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$25.0M</w:t>
                  </w:r>
                </w:p>
              </w:tc>
            </w:tr>
            <w:tr>
              <w:tc>
                <w:tcPr>
                  <w:tcW w:type="dxa" w:w="3184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Bank senior debt</w:t>
                  </w:r>
                </w:p>
              </w:tc>
              <w:tc>
                <w:tcPr>
                  <w:tcW w:type="dxa" w:w="1952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$40.0M</w:t>
                  </w:r>
                </w:p>
              </w:tc>
            </w:tr>
            <w:tr>
              <w:tc>
                <w:tcPr>
                  <w:tcW w:type="dxa" w:w="3184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Lease / equipment debt</w:t>
                  </w:r>
                </w:p>
              </w:tc>
              <w:tc>
                <w:tcPr>
                  <w:tcW w:type="dxa" w:w="1952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$12.0M</w:t>
                  </w:r>
                </w:p>
              </w:tc>
            </w:tr>
            <w:tr>
              <w:tc>
                <w:tcPr>
                  <w:tcW w:type="dxa" w:w="3184"/>
                  <w:shd w:fill="EEDCA7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Total sources</w:t>
                  </w:r>
                </w:p>
              </w:tc>
              <w:tc>
                <w:tcPr>
                  <w:tcW w:type="dxa" w:w="1952"/>
                  <w:shd w:fill="EEDCA7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$77.0M</w:t>
                  </w:r>
                </w:p>
              </w:tc>
            </w:tr>
            <w:tr>
              <w:tc>
                <w:tcPr>
                  <w:tcW w:type="dxa" w:w="3184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Buildings &amp; four domes</w:t>
                  </w:r>
                </w:p>
              </w:tc>
              <w:tc>
                <w:tcPr>
                  <w:tcW w:type="dxa" w:w="1952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$47.6M</w:t>
                  </w:r>
                </w:p>
              </w:tc>
            </w:tr>
            <w:tr>
              <w:tc>
                <w:tcPr>
                  <w:tcW w:type="dxa" w:w="3184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Course layout</w:t>
                  </w:r>
                </w:p>
              </w:tc>
              <w:tc>
                <w:tcPr>
                  <w:tcW w:type="dxa" w:w="1952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$8.4M</w:t>
                  </w:r>
                </w:p>
              </w:tc>
            </w:tr>
            <w:tr>
              <w:tc>
                <w:tcPr>
                  <w:tcW w:type="dxa" w:w="3184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Land (100 acres)</w:t>
                  </w:r>
                </w:p>
              </w:tc>
              <w:tc>
                <w:tcPr>
                  <w:tcW w:type="dxa" w:w="1952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$5.65M</w:t>
                  </w:r>
                </w:p>
              </w:tc>
            </w:tr>
            <w:tr>
              <w:tc>
                <w:tcPr>
                  <w:tcW w:type="dxa" w:w="3184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Contingency (10%)</w:t>
                  </w:r>
                </w:p>
              </w:tc>
              <w:tc>
                <w:tcPr>
                  <w:tcW w:type="dxa" w:w="1952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$6.2M</w:t>
                  </w:r>
                </w:p>
              </w:tc>
            </w:tr>
            <w:tr>
              <w:tc>
                <w:tcPr>
                  <w:tcW w:type="dxa" w:w="3184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Financing fees &amp; expenses</w:t>
                  </w:r>
                </w:p>
              </w:tc>
              <w:tc>
                <w:tcPr>
                  <w:tcW w:type="dxa" w:w="1952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$2.8M</w:t>
                  </w:r>
                </w:p>
              </w:tc>
            </w:tr>
            <w:tr>
              <w:tc>
                <w:tcPr>
                  <w:tcW w:type="dxa" w:w="3184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WC + 12-mo interest reserve</w:t>
                  </w:r>
                </w:p>
              </w:tc>
              <w:tc>
                <w:tcPr>
                  <w:tcW w:type="dxa" w:w="1952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$5.1M</w:t>
                  </w:r>
                </w:p>
              </w:tc>
            </w:tr>
            <w:tr>
              <w:tc>
                <w:tcPr>
                  <w:tcW w:type="dxa" w:w="3184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Other (FF&amp;E, inventory, IT)</w:t>
                  </w:r>
                </w:p>
              </w:tc>
              <w:tc>
                <w:tcPr>
                  <w:tcW w:type="dxa" w:w="1952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$1.3M</w:t>
                  </w:r>
                </w:p>
              </w:tc>
            </w:tr>
            <w:tr>
              <w:tc>
                <w:tcPr>
                  <w:tcW w:type="dxa" w:w="3184"/>
                  <w:shd w:fill="EEDCA7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Total uses</w:t>
                  </w:r>
                </w:p>
              </w:tc>
              <w:tc>
                <w:tcPr>
                  <w:tcW w:type="dxa" w:w="1952"/>
                  <w:shd w:fill="EEDCA7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$77.0M</w:t>
                  </w:r>
                </w:p>
              </w:tc>
            </w:tr>
          </w:tbl>
          <w:p>
            <w:pPr>
              <w:spacing w:after="6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8"/>
                <w:szCs w:val="18"/>
              </w:rPr>
              <w:t xml:space="preserve"/>
            </w:r>
          </w:p>
          <w:tbl>
            <w:tblPr>
              <w:tblW w:type="dxa" w:w="5136"/>
              <w:tblBorders>
                <w:top w:val="single" w:color="E2DCCE" w:sz="1"/>
                <w:left w:val="single" w:color="E2DCCE" w:sz="1"/>
                <w:bottom w:val="single" w:color="E2DCCE" w:sz="1"/>
                <w:right w:val="single" w:color="E2DCCE" w:sz="1"/>
                <w:insideH w:val="single" w:color="E2DCCE" w:sz="1"/>
                <w:insideV w:val="single" w:color="E2DCCE" w:sz="1"/>
              </w:tblBorders>
            </w:tblPr>
            <w:tblGrid>
              <w:gridCol w:w="3184"/>
              <w:gridCol w:w="1952"/>
            </w:tblGrid>
            <w:tr>
              <w:tc>
                <w:tcPr>
                  <w:tcW w:type="dxa" w:w="5136"/>
                  <w:gridSpan w:val="2"/>
                  <w:shd w:fill="2E2E2E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/>
                      <w:color w:val="FFFFFF"/>
                      <w:spacing w:val="14"/>
                      <w:sz w:val="16"/>
                      <w:szCs w:val="16"/>
                    </w:rPr>
                    <w:t xml:space="preserve">  Exit Math (FY2031)</w:t>
                  </w:r>
                </w:p>
              </w:tc>
            </w:tr>
            <w:tr>
              <w:tc>
                <w:tcPr>
                  <w:tcW w:type="dxa" w:w="3184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Year-5 EBITDA</w:t>
                  </w:r>
                </w:p>
              </w:tc>
              <w:tc>
                <w:tcPr>
                  <w:tcW w:type="dxa" w:w="1952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$15.0M</w:t>
                  </w:r>
                </w:p>
              </w:tc>
            </w:tr>
            <w:tr>
              <w:tc>
                <w:tcPr>
                  <w:tcW w:type="dxa" w:w="3184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× Exit multiple</w:t>
                  </w:r>
                </w:p>
              </w:tc>
              <w:tc>
                <w:tcPr>
                  <w:tcW w:type="dxa" w:w="1952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9.0x</w:t>
                  </w:r>
                </w:p>
              </w:tc>
            </w:tr>
            <w:tr>
              <w:tc>
                <w:tcPr>
                  <w:tcW w:type="dxa" w:w="3184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= Enterprise value</w:t>
                  </w:r>
                </w:p>
              </w:tc>
              <w:tc>
                <w:tcPr>
                  <w:tcW w:type="dxa" w:w="1952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$135.0M</w:t>
                  </w:r>
                </w:p>
              </w:tc>
            </w:tr>
            <w:tr>
              <w:tc>
                <w:tcPr>
                  <w:tcW w:type="dxa" w:w="3184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− Net debt at exit</w:t>
                  </w:r>
                </w:p>
              </w:tc>
              <w:tc>
                <w:tcPr>
                  <w:tcW w:type="dxa" w:w="1952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($32.2M)</w:t>
                  </w:r>
                </w:p>
              </w:tc>
            </w:tr>
            <w:tr>
              <w:tc>
                <w:tcPr>
                  <w:tcW w:type="dxa" w:w="3184"/>
                  <w:shd w:fill="EEDCA7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= Equity value at exit</w:t>
                  </w:r>
                </w:p>
              </w:tc>
              <w:tc>
                <w:tcPr>
                  <w:tcW w:type="dxa" w:w="1952"/>
                  <w:shd w:fill="EEDCA7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$102.8M</w:t>
                  </w:r>
                </w:p>
              </w:tc>
            </w:tr>
            <w:tr>
              <w:tc>
                <w:tcPr>
                  <w:tcW w:type="dxa" w:w="3184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Investor share (47.5%)</w:t>
                  </w:r>
                </w:p>
              </w:tc>
              <w:tc>
                <w:tcPr>
                  <w:tcW w:type="dxa" w:w="1952"/>
                  <w:shd w:fill="FFFFFF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$48.8M</w:t>
                  </w:r>
                </w:p>
              </w:tc>
            </w:tr>
            <w:tr>
              <w:tc>
                <w:tcPr>
                  <w:tcW w:type="dxa" w:w="3184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Manager (52.5%)</w:t>
                  </w:r>
                </w:p>
              </w:tc>
              <w:tc>
                <w:tcPr>
                  <w:tcW w:type="dxa" w:w="1952"/>
                  <w:shd w:fill="FAF9F5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</w:tcPr>
                <w:p>
                  <w:pPr>
                    <w:spacing w:after="0" w:before="0" w:line="23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E2E2E"/>
                      <w:sz w:val="17"/>
                      <w:szCs w:val="17"/>
                    </w:rPr>
                    <w:t xml:space="preserve">$54.0M</w:t>
                  </w:r>
                </w:p>
              </w:tc>
            </w:tr>
          </w:tbl>
          <w:p/>
        </w:tc>
      </w:tr>
    </w:tbl>
    <w:p>
      <w:pPr>
        <w:spacing w:after="90" w:before="0" w:line="23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E2E2E"/>
          <w:sz w:val="18"/>
          <w:szCs w:val="18"/>
        </w:rPr>
        <w:t xml:space="preserve"/>
      </w:r>
    </w:p>
    <w:p>
      <w:pPr>
        <w:spacing w:after="50" w:before="0" w:line="23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E2E2E"/>
          <w:spacing w:val="10"/>
          <w:sz w:val="18"/>
          <w:szCs w:val="18"/>
        </w:rPr>
        <w:t xml:space="preserve">SENSITIVITY — BLENDED MOIC vs. EXIT MULTIPLE</w:t>
      </w:r>
    </w:p>
    <w:tbl>
      <w:tblPr>
        <w:tblW w:type="dxa" w:w="10512"/>
        <w:tblBorders>
          <w:top w:val="single" w:color="E2DCCE" w:sz="1"/>
          <w:left w:val="single" w:color="E2DCCE" w:sz="1"/>
          <w:bottom w:val="single" w:color="E2DCCE" w:sz="1"/>
          <w:right w:val="single" w:color="E2DCCE" w:sz="1"/>
          <w:insideH w:val="single" w:color="E2DCCE" w:sz="1"/>
          <w:insideV w:val="single" w:color="E2DCCE" w:sz="1"/>
        </w:tblBorders>
      </w:tblPr>
      <w:tblGrid>
        <w:gridCol w:w="2712"/>
        <w:gridCol w:w="1560"/>
        <w:gridCol w:w="1560"/>
        <w:gridCol w:w="1560"/>
        <w:gridCol w:w="1560"/>
        <w:gridCol w:w="1560"/>
      </w:tblGrid>
      <w:tr>
        <w:tc>
          <w:tcPr>
            <w:tcW w:type="dxa" w:w="2712"/>
            <w:shd w:fill="1F2A44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Exit EBITDA multiple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7.5x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8.0x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8.5x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9.0x</w:t>
            </w:r>
          </w:p>
        </w:tc>
        <w:tc>
          <w:tcPr>
            <w:tcW w:type="dxa" w:w="1560"/>
            <w:shd w:fill="FAF9F5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9.5x</w:t>
            </w:r>
          </w:p>
        </w:tc>
      </w:tr>
      <w:tr>
        <w:tc>
          <w:tcPr>
            <w:tcW w:type="dxa" w:w="2712"/>
            <w:shd w:fill="1F2A44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Blended MOIC to investors</w:t>
            </w:r>
          </w:p>
        </w:tc>
        <w:tc>
          <w:tcPr>
            <w:tcW w:type="dxa" w:w="1560"/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1.93x</w:t>
            </w:r>
          </w:p>
        </w:tc>
        <w:tc>
          <w:tcPr>
            <w:tcW w:type="dxa" w:w="1560"/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2.07x</w:t>
            </w:r>
          </w:p>
        </w:tc>
        <w:tc>
          <w:tcPr>
            <w:tcW w:type="dxa" w:w="1560"/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2.21x</w:t>
            </w:r>
          </w:p>
        </w:tc>
        <w:tc>
          <w:tcPr>
            <w:tcW w:type="dxa" w:w="1560"/>
            <w:shd w:fill="EEDCA7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2.35x</w:t>
            </w:r>
          </w:p>
        </w:tc>
        <w:tc>
          <w:tcPr>
            <w:tcW w:type="dxa" w:w="1560"/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E2E"/>
                <w:sz w:val="17"/>
                <w:szCs w:val="17"/>
              </w:rPr>
              <w:t xml:space="preserve">2.50x</w:t>
            </w:r>
          </w:p>
        </w:tc>
      </w:tr>
    </w:tbl>
    <w:p>
      <w:pPr>
        <w:pBdr>
          <w:top w:val="single" w:color="DFCE9D" w:sz="4" w:space="8"/>
        </w:pBdr>
        <w:spacing w:before="140" w:line="21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B6B"/>
          <w:sz w:val="13"/>
          <w:szCs w:val="13"/>
        </w:rPr>
        <w:t xml:space="preserve">CONFIDENTIAL — for accredited investors only. Not an offer to sell or a solicitation to buy any security; any offering is made solely through the Confidential Private Placement Memorandum of MEGALODOME GOLF Equity Fund I LLC and its subscription documents under Rule 506(c) of Regulation D. Projections are modeled estimates, not guarantees; actual results will differ. Reflects a proposed restructured capital stack; equity classes and the distribution waterfall are illustrative and subject to amended offering documents and securities-counsel review before any investor use.</w:t>
      </w:r>
    </w:p>
    <w:sectPr>
      <w:pgSz w:w="12240" w:h="15840" w:orient="portrait"/>
      <w:pgMar w:top="864" w:right="864" w:bottom="648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CB5E477540964E8F626A688AAD728E" ma:contentTypeVersion="14" ma:contentTypeDescription="Create a new document." ma:contentTypeScope="" ma:versionID="6c1c305a94a89f2041ba7b69dcb70855">
  <xsd:schema xmlns:xsd="http://www.w3.org/2001/XMLSchema" xmlns:xs="http://www.w3.org/2001/XMLSchema" xmlns:p="http://schemas.microsoft.com/office/2006/metadata/properties" xmlns:ns2="234de5ca-b4f8-4058-b9f6-459763652aff" xmlns:ns3="835f4433-dd77-4c52-bb0b-bde5e23e02d4" targetNamespace="http://schemas.microsoft.com/office/2006/metadata/properties" ma:root="true" ma:fieldsID="17427eedb5981284c077e88e6af5560e" ns2:_="" ns3:_="">
    <xsd:import namespace="234de5ca-b4f8-4058-b9f6-459763652aff"/>
    <xsd:import namespace="835f4433-dd77-4c52-bb0b-bde5e23e02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de5ca-b4f8-4058-b9f6-459763652a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e1480b-bd3f-4ba3-909e-28113204a6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f4433-dd77-4c52-bb0b-bde5e23e02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27d96b5-36a5-4f4d-ab1c-87f745630bd6}" ma:internalName="TaxCatchAll" ma:showField="CatchAllData" ma:web="835f4433-dd77-4c52-bb0b-bde5e23e02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f4433-dd77-4c52-bb0b-bde5e23e02d4" xsi:nil="true"/>
    <lcf76f155ced4ddcb4097134ff3c332f xmlns="234de5ca-b4f8-4058-b9f6-459763652af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DC4601-02DC-43E7-BF09-3026E0DC851A}"/>
</file>

<file path=customXml/itemProps2.xml><?xml version="1.0" encoding="utf-8"?>
<ds:datastoreItem xmlns:ds="http://schemas.openxmlformats.org/officeDocument/2006/customXml" ds:itemID="{DA700E8D-0F06-4533-A01B-68813F7CB724}"/>
</file>

<file path=customXml/itemProps3.xml><?xml version="1.0" encoding="utf-8"?>
<ds:datastoreItem xmlns:ds="http://schemas.openxmlformats.org/officeDocument/2006/customXml" ds:itemID="{6DE2CEF1-1DF4-479C-8A73-D7875B58D72A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2026-06-30T14:01:18Z</dcterms:created>
  <dcterms:modified xsi:type="dcterms:W3CDTF">2026-06-30T14:01:18Z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0x010100F1CB5E477540964E8F626A688AAD728E</vt:lpwstr>
  </property>
</Properties>
</file>