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8CD8" w14:textId="77777777" w:rsidR="00A25013" w:rsidRDefault="00000000">
      <w:pPr>
        <w:spacing w:after="20"/>
      </w:pPr>
      <w:r>
        <w:rPr>
          <w:rFonts w:ascii="Cormorant Garamond" w:eastAsia="Cormorant Garamond" w:hAnsi="Cormorant Garamond" w:cs="Cormorant Garamond"/>
          <w:b/>
          <w:bCs/>
          <w:spacing w:val="30"/>
          <w:sz w:val="48"/>
          <w:szCs w:val="48"/>
        </w:rPr>
        <w:t>MEGALODOME GOLF</w:t>
      </w:r>
    </w:p>
    <w:p w14:paraId="44FD2B63" w14:textId="77777777" w:rsidR="00A25013" w:rsidRDefault="00000000">
      <w:pPr>
        <w:spacing w:after="120"/>
      </w:pPr>
      <w:r>
        <w:rPr>
          <w:b/>
          <w:bCs/>
          <w:caps/>
          <w:color w:val="DFCE9D"/>
          <w:spacing w:val="60"/>
          <w:sz w:val="18"/>
          <w:szCs w:val="18"/>
        </w:rPr>
        <w:t>THE NEXT REVOLUTION™</w:t>
      </w:r>
    </w:p>
    <w:p w14:paraId="3F76448A" w14:textId="77777777" w:rsidR="00A25013" w:rsidRDefault="00000000">
      <w:pPr>
        <w:spacing w:after="120"/>
      </w:pPr>
      <w:r>
        <w:rPr>
          <w:i/>
          <w:iCs/>
          <w:color w:val="6B6B6B"/>
          <w:sz w:val="20"/>
          <w:szCs w:val="20"/>
        </w:rPr>
        <w:t>An institutional summary of the Chicago-West flagship and Fund I offering</w:t>
      </w:r>
    </w:p>
    <w:p w14:paraId="3730383A" w14:textId="77777777" w:rsidR="00A25013" w:rsidRDefault="00000000">
      <w:pPr>
        <w:spacing w:after="40"/>
      </w:pPr>
      <w:r>
        <w:rPr>
          <w:b/>
          <w:bCs/>
          <w:sz w:val="24"/>
          <w:szCs w:val="24"/>
        </w:rPr>
        <w:t>Confidential Executive Summary</w:t>
      </w:r>
    </w:p>
    <w:p w14:paraId="4FE9D798" w14:textId="77777777" w:rsidR="00A25013" w:rsidRDefault="00000000">
      <w:pPr>
        <w:spacing w:before="40" w:after="20" w:line="264" w:lineRule="auto"/>
      </w:pPr>
      <w:r>
        <w:rPr>
          <w:b/>
          <w:bCs/>
          <w:sz w:val="20"/>
          <w:szCs w:val="20"/>
        </w:rPr>
        <w:t>Flagship Development — Oswego, Illinois (Chicago West)</w:t>
      </w:r>
    </w:p>
    <w:p w14:paraId="5900C9D8" w14:textId="77777777" w:rsidR="00A25013" w:rsidRDefault="00000000">
      <w:pPr>
        <w:spacing w:before="40" w:after="60" w:line="264" w:lineRule="auto"/>
      </w:pPr>
      <w:r>
        <w:rPr>
          <w:color w:val="6B6B6B"/>
          <w:sz w:val="18"/>
          <w:szCs w:val="18"/>
        </w:rPr>
        <w:t>MEGALODOME GOLF Equity Fund I LLC   ·   Reg D 506(c)   ·   Confidential — For Accredited Investors Only</w:t>
      </w:r>
    </w:p>
    <w:p w14:paraId="0E4C4554" w14:textId="77777777" w:rsidR="00A25013" w:rsidRDefault="00000000">
      <w:pPr>
        <w:shd w:val="clear" w:color="auto" w:fill="2E2E2E"/>
        <w:spacing w:before="200" w:after="120"/>
      </w:pPr>
      <w:r>
        <w:rPr>
          <w:b/>
          <w:bCs/>
          <w:caps/>
          <w:color w:val="FFFFFF"/>
          <w:spacing w:val="20"/>
          <w:sz w:val="22"/>
          <w:szCs w:val="22"/>
        </w:rPr>
        <w:t xml:space="preserve">  1 · Fund Strategy &amp; Overview</w:t>
      </w:r>
    </w:p>
    <w:p w14:paraId="1F0C6389" w14:textId="77777777" w:rsidR="00A25013" w:rsidRDefault="00000000">
      <w:pPr>
        <w:spacing w:before="40" w:after="100" w:line="264" w:lineRule="auto"/>
      </w:pPr>
      <w:r>
        <w:t>MEGALODOME GOLF is raising $25 million of equity — across three tranches — alongside $52 million of debt to develop the world’s first fully playable indoor golf course: a real, walkable course inside four interconnected climate-controlled domes that enable 365-day play in any weather. This is not a simulator venue and not a driving range; it is genuine on-course golf, indoors.</w:t>
      </w:r>
    </w:p>
    <w:p w14:paraId="39534534" w14:textId="77777777" w:rsidR="00A25013" w:rsidRDefault="00000000">
      <w:pPr>
        <w:spacing w:before="40" w:after="100" w:line="264" w:lineRule="auto"/>
      </w:pPr>
      <w:r>
        <w:t>The flagship sits on a 100-acre Oswego, Illinois site (≈30 miles west of downtown Chicago) approved unanimously by the Village of Oswego Board in September 2024. The strategy is development-to-stabilization: build a differentiated, recurring-revenue, real-estate-backed asset, stabilize operations, and return capital through refinance or sale within a five-year horizon. The structural tailwind is durable — U.S. off-course golf participation (32.9M) has overtaken on-course play for the first time in history, while cold-climate metros remain structurally underserved for real winter play.</w:t>
      </w:r>
    </w:p>
    <w:p w14:paraId="4A92ABD7" w14:textId="77777777" w:rsidR="00A25013" w:rsidRDefault="00000000">
      <w:pPr>
        <w:spacing w:before="60" w:after="60"/>
      </w:pPr>
      <w:r>
        <w:rPr>
          <w:b/>
          <w:bCs/>
          <w:sz w:val="24"/>
          <w:szCs w:val="24"/>
        </w:rPr>
        <w:t xml:space="preserve">Why This Is a Category, </w:t>
      </w:r>
      <w:proofErr w:type="gramStart"/>
      <w:r>
        <w:rPr>
          <w:b/>
          <w:bCs/>
          <w:sz w:val="24"/>
          <w:szCs w:val="24"/>
        </w:rPr>
        <w:t>Not</w:t>
      </w:r>
      <w:proofErr w:type="gramEnd"/>
      <w:r>
        <w:rPr>
          <w:b/>
          <w:bCs/>
          <w:sz w:val="24"/>
          <w:szCs w:val="24"/>
        </w:rPr>
        <w:t xml:space="preserve"> a </w:t>
      </w:r>
      <w:proofErr w:type="gramStart"/>
      <w:r>
        <w:rPr>
          <w:b/>
          <w:bCs/>
          <w:sz w:val="24"/>
          <w:szCs w:val="24"/>
        </w:rPr>
        <w:t>Competitor</w:t>
      </w:r>
      <w:proofErr w:type="gramEnd"/>
    </w:p>
    <w:p w14:paraId="77D729AC" w14:textId="77777777" w:rsidR="00A25013" w:rsidRDefault="00000000">
      <w:pPr>
        <w:spacing w:before="40" w:after="100" w:line="264" w:lineRule="auto"/>
      </w:pPr>
      <w:r>
        <w:t>Topgolf, Five Iron, X-Golf and traditional dome ranges monetize entertainment or practice — none deliver a real, walkable course indoors. MEGALODOME GOLF is positioned as a category creator, protected by trademark, course-design IP, and the operational expertise to run year-round play.</w:t>
      </w:r>
    </w:p>
    <w:p w14:paraId="1466B222" w14:textId="77777777" w:rsidR="00A25013" w:rsidRDefault="00000000">
      <w:pPr>
        <w:shd w:val="clear" w:color="auto" w:fill="2E2E2E"/>
        <w:spacing w:before="200" w:after="120"/>
      </w:pPr>
      <w:r>
        <w:rPr>
          <w:b/>
          <w:bCs/>
          <w:caps/>
          <w:color w:val="FFFFFF"/>
          <w:spacing w:val="20"/>
          <w:sz w:val="22"/>
          <w:szCs w:val="22"/>
        </w:rPr>
        <w:t xml:space="preserve">  2 · Capital Structure</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5040"/>
        <w:gridCol w:w="5040"/>
      </w:tblGrid>
      <w:tr w:rsidR="00A25013" w14:paraId="3E49715E" w14:textId="77777777">
        <w:tblPrEx>
          <w:tblCellMar>
            <w:top w:w="0" w:type="dxa"/>
            <w:bottom w:w="0" w:type="dxa"/>
          </w:tblCellMar>
        </w:tblPrEx>
        <w:tc>
          <w:tcPr>
            <w:tcW w:w="5040" w:type="dxa"/>
            <w:shd w:val="clear" w:color="auto" w:fill="2E2E2E"/>
            <w:tcMar>
              <w:top w:w="60" w:type="dxa"/>
              <w:left w:w="120" w:type="dxa"/>
              <w:bottom w:w="60" w:type="dxa"/>
              <w:right w:w="120" w:type="dxa"/>
            </w:tcMar>
          </w:tcPr>
          <w:p w14:paraId="42CC8590" w14:textId="77777777" w:rsidR="00A25013" w:rsidRDefault="00000000">
            <w:pPr>
              <w:spacing w:before="20" w:after="20"/>
            </w:pPr>
            <w:r>
              <w:rPr>
                <w:b/>
                <w:bCs/>
                <w:color w:val="FFFFFF"/>
                <w:sz w:val="20"/>
                <w:szCs w:val="20"/>
              </w:rPr>
              <w:t>Source / Term</w:t>
            </w:r>
          </w:p>
        </w:tc>
        <w:tc>
          <w:tcPr>
            <w:tcW w:w="5040" w:type="dxa"/>
            <w:shd w:val="clear" w:color="auto" w:fill="2E2E2E"/>
            <w:tcMar>
              <w:top w:w="60" w:type="dxa"/>
              <w:left w:w="120" w:type="dxa"/>
              <w:bottom w:w="60" w:type="dxa"/>
              <w:right w:w="120" w:type="dxa"/>
            </w:tcMar>
          </w:tcPr>
          <w:p w14:paraId="3B2CBC88" w14:textId="77777777" w:rsidR="00A25013" w:rsidRDefault="00000000">
            <w:pPr>
              <w:spacing w:before="20" w:after="20"/>
              <w:jc w:val="right"/>
            </w:pPr>
            <w:r>
              <w:rPr>
                <w:b/>
                <w:bCs/>
                <w:color w:val="FFFFFF"/>
                <w:sz w:val="20"/>
                <w:szCs w:val="20"/>
              </w:rPr>
              <w:t>Detail</w:t>
            </w:r>
          </w:p>
        </w:tc>
      </w:tr>
      <w:tr w:rsidR="00A25013" w14:paraId="29279CA0"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228EF353" w14:textId="77777777" w:rsidR="00A25013" w:rsidRDefault="00000000">
            <w:pPr>
              <w:spacing w:before="20" w:after="20"/>
            </w:pPr>
            <w:r>
              <w:rPr>
                <w:b/>
                <w:bCs/>
                <w:sz w:val="20"/>
                <w:szCs w:val="20"/>
              </w:rPr>
              <w:t>Total project capitalization</w:t>
            </w:r>
          </w:p>
        </w:tc>
        <w:tc>
          <w:tcPr>
            <w:tcW w:w="5040" w:type="dxa"/>
            <w:shd w:val="clear" w:color="auto" w:fill="FFFFFF"/>
            <w:tcMar>
              <w:top w:w="60" w:type="dxa"/>
              <w:left w:w="120" w:type="dxa"/>
              <w:bottom w:w="60" w:type="dxa"/>
              <w:right w:w="120" w:type="dxa"/>
            </w:tcMar>
          </w:tcPr>
          <w:p w14:paraId="61197843" w14:textId="77777777" w:rsidR="00A25013" w:rsidRDefault="00000000">
            <w:pPr>
              <w:spacing w:before="20" w:after="20"/>
              <w:jc w:val="right"/>
            </w:pPr>
            <w:r>
              <w:rPr>
                <w:b/>
                <w:bCs/>
                <w:sz w:val="20"/>
                <w:szCs w:val="20"/>
              </w:rPr>
              <w:t>$77.0M</w:t>
            </w:r>
          </w:p>
        </w:tc>
      </w:tr>
      <w:tr w:rsidR="00A25013" w14:paraId="12F44073"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6FB06A62" w14:textId="77777777" w:rsidR="00A25013" w:rsidRDefault="00000000">
            <w:pPr>
              <w:spacing w:before="20" w:after="20"/>
            </w:pPr>
            <w:r>
              <w:rPr>
                <w:sz w:val="20"/>
                <w:szCs w:val="20"/>
              </w:rPr>
              <w:t>Fund equity — Class B preferred (this offering)</w:t>
            </w:r>
          </w:p>
        </w:tc>
        <w:tc>
          <w:tcPr>
            <w:tcW w:w="5040" w:type="dxa"/>
            <w:shd w:val="clear" w:color="auto" w:fill="FAF9F5"/>
            <w:tcMar>
              <w:top w:w="60" w:type="dxa"/>
              <w:left w:w="120" w:type="dxa"/>
              <w:bottom w:w="60" w:type="dxa"/>
              <w:right w:w="120" w:type="dxa"/>
            </w:tcMar>
          </w:tcPr>
          <w:p w14:paraId="5DEE1DA6" w14:textId="77777777" w:rsidR="00A25013" w:rsidRDefault="00000000">
            <w:pPr>
              <w:spacing w:before="20" w:after="20"/>
              <w:jc w:val="right"/>
            </w:pPr>
            <w:r>
              <w:rPr>
                <w:sz w:val="20"/>
                <w:szCs w:val="20"/>
              </w:rPr>
              <w:t>$10.0M</w:t>
            </w:r>
          </w:p>
        </w:tc>
      </w:tr>
      <w:tr w:rsidR="00A25013" w14:paraId="262B2C06"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3F5938C5" w14:textId="77777777" w:rsidR="00A25013" w:rsidRDefault="00000000">
            <w:pPr>
              <w:spacing w:before="20" w:after="20"/>
            </w:pPr>
            <w:r>
              <w:rPr>
                <w:sz w:val="20"/>
                <w:szCs w:val="20"/>
              </w:rPr>
              <w:t>Membership equity — founding members</w:t>
            </w:r>
          </w:p>
        </w:tc>
        <w:tc>
          <w:tcPr>
            <w:tcW w:w="5040" w:type="dxa"/>
            <w:shd w:val="clear" w:color="auto" w:fill="FFFFFF"/>
            <w:tcMar>
              <w:top w:w="60" w:type="dxa"/>
              <w:left w:w="120" w:type="dxa"/>
              <w:bottom w:w="60" w:type="dxa"/>
              <w:right w:w="120" w:type="dxa"/>
            </w:tcMar>
          </w:tcPr>
          <w:p w14:paraId="5CE3B1DC" w14:textId="77777777" w:rsidR="00A25013" w:rsidRDefault="00000000">
            <w:pPr>
              <w:spacing w:before="20" w:after="20"/>
              <w:jc w:val="right"/>
            </w:pPr>
            <w:r>
              <w:rPr>
                <w:sz w:val="20"/>
                <w:szCs w:val="20"/>
              </w:rPr>
              <w:t>$10.0M</w:t>
            </w:r>
          </w:p>
        </w:tc>
      </w:tr>
      <w:tr w:rsidR="00A25013" w14:paraId="0B89A14D"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6144B99F" w14:textId="77777777" w:rsidR="00A25013" w:rsidRDefault="00000000">
            <w:pPr>
              <w:spacing w:before="20" w:after="20"/>
            </w:pPr>
            <w:r>
              <w:rPr>
                <w:sz w:val="20"/>
                <w:szCs w:val="20"/>
              </w:rPr>
              <w:t>Outside equity — direct 12.5% stake in Chicago West</w:t>
            </w:r>
          </w:p>
        </w:tc>
        <w:tc>
          <w:tcPr>
            <w:tcW w:w="5040" w:type="dxa"/>
            <w:shd w:val="clear" w:color="auto" w:fill="FAF9F5"/>
            <w:tcMar>
              <w:top w:w="60" w:type="dxa"/>
              <w:left w:w="120" w:type="dxa"/>
              <w:bottom w:w="60" w:type="dxa"/>
              <w:right w:w="120" w:type="dxa"/>
            </w:tcMar>
          </w:tcPr>
          <w:p w14:paraId="2491E1A1" w14:textId="77777777" w:rsidR="00A25013" w:rsidRDefault="00000000">
            <w:pPr>
              <w:spacing w:before="20" w:after="20"/>
              <w:jc w:val="right"/>
            </w:pPr>
            <w:r>
              <w:rPr>
                <w:sz w:val="20"/>
                <w:szCs w:val="20"/>
              </w:rPr>
              <w:t>$5.0M</w:t>
            </w:r>
          </w:p>
        </w:tc>
      </w:tr>
      <w:tr w:rsidR="00A25013" w14:paraId="67AF54A0" w14:textId="77777777">
        <w:tblPrEx>
          <w:tblCellMar>
            <w:top w:w="0" w:type="dxa"/>
            <w:bottom w:w="0" w:type="dxa"/>
          </w:tblCellMar>
        </w:tblPrEx>
        <w:tc>
          <w:tcPr>
            <w:tcW w:w="5040" w:type="dxa"/>
            <w:shd w:val="clear" w:color="auto" w:fill="EEDCA7"/>
            <w:tcMar>
              <w:top w:w="60" w:type="dxa"/>
              <w:left w:w="120" w:type="dxa"/>
              <w:bottom w:w="60" w:type="dxa"/>
              <w:right w:w="120" w:type="dxa"/>
            </w:tcMar>
          </w:tcPr>
          <w:p w14:paraId="39FDC936" w14:textId="77777777" w:rsidR="00A25013" w:rsidRDefault="00000000">
            <w:pPr>
              <w:spacing w:before="20" w:after="20"/>
            </w:pPr>
            <w:r>
              <w:rPr>
                <w:sz w:val="20"/>
                <w:szCs w:val="20"/>
              </w:rPr>
              <w:t>Total equity</w:t>
            </w:r>
          </w:p>
        </w:tc>
        <w:tc>
          <w:tcPr>
            <w:tcW w:w="5040" w:type="dxa"/>
            <w:shd w:val="clear" w:color="auto" w:fill="EEDCA7"/>
            <w:tcMar>
              <w:top w:w="60" w:type="dxa"/>
              <w:left w:w="120" w:type="dxa"/>
              <w:bottom w:w="60" w:type="dxa"/>
              <w:right w:w="120" w:type="dxa"/>
            </w:tcMar>
          </w:tcPr>
          <w:p w14:paraId="581CE5F9" w14:textId="77777777" w:rsidR="00A25013" w:rsidRDefault="00000000">
            <w:pPr>
              <w:spacing w:before="20" w:after="20"/>
              <w:jc w:val="right"/>
            </w:pPr>
            <w:r>
              <w:rPr>
                <w:b/>
                <w:bCs/>
                <w:sz w:val="20"/>
                <w:szCs w:val="20"/>
              </w:rPr>
              <w:t>$25.0M</w:t>
            </w:r>
          </w:p>
        </w:tc>
      </w:tr>
      <w:tr w:rsidR="00A25013" w14:paraId="0609820B"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4C4E6FCA" w14:textId="77777777" w:rsidR="00A25013" w:rsidRDefault="00000000">
            <w:pPr>
              <w:spacing w:before="20" w:after="20"/>
            </w:pPr>
            <w:r>
              <w:rPr>
                <w:sz w:val="20"/>
                <w:szCs w:val="20"/>
              </w:rPr>
              <w:t>Bank senior term loan</w:t>
            </w:r>
          </w:p>
        </w:tc>
        <w:tc>
          <w:tcPr>
            <w:tcW w:w="5040" w:type="dxa"/>
            <w:shd w:val="clear" w:color="auto" w:fill="FAF9F5"/>
            <w:tcMar>
              <w:top w:w="60" w:type="dxa"/>
              <w:left w:w="120" w:type="dxa"/>
              <w:bottom w:w="60" w:type="dxa"/>
              <w:right w:w="120" w:type="dxa"/>
            </w:tcMar>
          </w:tcPr>
          <w:p w14:paraId="78238746" w14:textId="77777777" w:rsidR="00A25013" w:rsidRDefault="00000000">
            <w:pPr>
              <w:spacing w:before="20" w:after="20"/>
              <w:jc w:val="right"/>
            </w:pPr>
            <w:r>
              <w:rPr>
                <w:sz w:val="20"/>
                <w:szCs w:val="20"/>
              </w:rPr>
              <w:t>$40.0M @ 8.40% (indicative)</w:t>
            </w:r>
          </w:p>
        </w:tc>
      </w:tr>
      <w:tr w:rsidR="00A25013" w14:paraId="68AC4ECF"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35CE8BFB" w14:textId="77777777" w:rsidR="00A25013" w:rsidRDefault="00000000">
            <w:pPr>
              <w:spacing w:before="20" w:after="20"/>
            </w:pPr>
            <w:r>
              <w:rPr>
                <w:sz w:val="20"/>
                <w:szCs w:val="20"/>
              </w:rPr>
              <w:t>Equipment / leasing facility</w:t>
            </w:r>
          </w:p>
        </w:tc>
        <w:tc>
          <w:tcPr>
            <w:tcW w:w="5040" w:type="dxa"/>
            <w:shd w:val="clear" w:color="auto" w:fill="FFFFFF"/>
            <w:tcMar>
              <w:top w:w="60" w:type="dxa"/>
              <w:left w:w="120" w:type="dxa"/>
              <w:bottom w:w="60" w:type="dxa"/>
              <w:right w:w="120" w:type="dxa"/>
            </w:tcMar>
          </w:tcPr>
          <w:p w14:paraId="4FDCE790" w14:textId="77777777" w:rsidR="00A25013" w:rsidRDefault="00000000">
            <w:pPr>
              <w:spacing w:before="20" w:after="20"/>
              <w:jc w:val="right"/>
            </w:pPr>
            <w:r>
              <w:rPr>
                <w:sz w:val="20"/>
                <w:szCs w:val="20"/>
              </w:rPr>
              <w:t>$12.0M @ 8.50% (indicative)</w:t>
            </w:r>
          </w:p>
        </w:tc>
      </w:tr>
      <w:tr w:rsidR="00A25013" w14:paraId="0F333562" w14:textId="77777777">
        <w:tblPrEx>
          <w:tblCellMar>
            <w:top w:w="0" w:type="dxa"/>
            <w:bottom w:w="0" w:type="dxa"/>
          </w:tblCellMar>
        </w:tblPrEx>
        <w:tc>
          <w:tcPr>
            <w:tcW w:w="5040" w:type="dxa"/>
            <w:shd w:val="clear" w:color="auto" w:fill="EEDCA7"/>
            <w:tcMar>
              <w:top w:w="60" w:type="dxa"/>
              <w:left w:w="120" w:type="dxa"/>
              <w:bottom w:w="60" w:type="dxa"/>
              <w:right w:w="120" w:type="dxa"/>
            </w:tcMar>
          </w:tcPr>
          <w:p w14:paraId="355850B0" w14:textId="77777777" w:rsidR="00A25013" w:rsidRDefault="00000000">
            <w:pPr>
              <w:spacing w:before="20" w:after="20"/>
            </w:pPr>
            <w:r>
              <w:rPr>
                <w:sz w:val="20"/>
                <w:szCs w:val="20"/>
              </w:rPr>
              <w:t>Total debt</w:t>
            </w:r>
          </w:p>
        </w:tc>
        <w:tc>
          <w:tcPr>
            <w:tcW w:w="5040" w:type="dxa"/>
            <w:shd w:val="clear" w:color="auto" w:fill="EEDCA7"/>
            <w:tcMar>
              <w:top w:w="60" w:type="dxa"/>
              <w:left w:w="120" w:type="dxa"/>
              <w:bottom w:w="60" w:type="dxa"/>
              <w:right w:w="120" w:type="dxa"/>
            </w:tcMar>
          </w:tcPr>
          <w:p w14:paraId="181C4296" w14:textId="77777777" w:rsidR="00A25013" w:rsidRDefault="00000000">
            <w:pPr>
              <w:spacing w:before="20" w:after="20"/>
              <w:jc w:val="right"/>
            </w:pPr>
            <w:r>
              <w:rPr>
                <w:b/>
                <w:bCs/>
                <w:sz w:val="20"/>
                <w:szCs w:val="20"/>
              </w:rPr>
              <w:t>$52.0M</w:t>
            </w:r>
          </w:p>
        </w:tc>
      </w:tr>
      <w:tr w:rsidR="00A25013" w14:paraId="792AD7BC"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3A93AF9E" w14:textId="77777777" w:rsidR="00A25013" w:rsidRDefault="00000000">
            <w:pPr>
              <w:spacing w:before="20" w:after="20"/>
            </w:pPr>
            <w:r>
              <w:rPr>
                <w:sz w:val="20"/>
                <w:szCs w:val="20"/>
              </w:rPr>
              <w:t>Preferred return (Fund + Membership)</w:t>
            </w:r>
          </w:p>
        </w:tc>
        <w:tc>
          <w:tcPr>
            <w:tcW w:w="5040" w:type="dxa"/>
            <w:shd w:val="clear" w:color="auto" w:fill="FFFFFF"/>
            <w:tcMar>
              <w:top w:w="60" w:type="dxa"/>
              <w:left w:w="120" w:type="dxa"/>
              <w:bottom w:w="60" w:type="dxa"/>
              <w:right w:w="120" w:type="dxa"/>
            </w:tcMar>
          </w:tcPr>
          <w:p w14:paraId="4EC51105" w14:textId="77777777" w:rsidR="00A25013" w:rsidRDefault="00000000">
            <w:pPr>
              <w:spacing w:before="20" w:after="20"/>
              <w:jc w:val="right"/>
            </w:pPr>
            <w:r>
              <w:rPr>
                <w:sz w:val="20"/>
                <w:szCs w:val="20"/>
              </w:rPr>
              <w:t>10% p.a., cumulative, non-compounded</w:t>
            </w:r>
          </w:p>
        </w:tc>
      </w:tr>
      <w:tr w:rsidR="00A25013" w14:paraId="2BAB8AEE"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7BA34F37" w14:textId="77777777" w:rsidR="00A25013" w:rsidRDefault="00000000">
            <w:pPr>
              <w:spacing w:before="20" w:after="20"/>
            </w:pPr>
            <w:r>
              <w:rPr>
                <w:sz w:val="20"/>
                <w:szCs w:val="20"/>
              </w:rPr>
              <w:t>Class B / Membership capital lock-in</w:t>
            </w:r>
          </w:p>
        </w:tc>
        <w:tc>
          <w:tcPr>
            <w:tcW w:w="5040" w:type="dxa"/>
            <w:shd w:val="clear" w:color="auto" w:fill="FAF9F5"/>
            <w:tcMar>
              <w:top w:w="60" w:type="dxa"/>
              <w:left w:w="120" w:type="dxa"/>
              <w:bottom w:w="60" w:type="dxa"/>
              <w:right w:w="120" w:type="dxa"/>
            </w:tcMar>
          </w:tcPr>
          <w:p w14:paraId="4322DE00" w14:textId="77777777" w:rsidR="00A25013" w:rsidRDefault="00000000">
            <w:pPr>
              <w:spacing w:before="20" w:after="20"/>
              <w:jc w:val="right"/>
            </w:pPr>
            <w:r>
              <w:rPr>
                <w:sz w:val="20"/>
                <w:szCs w:val="20"/>
              </w:rPr>
              <w:t>60 months</w:t>
            </w:r>
          </w:p>
        </w:tc>
      </w:tr>
    </w:tbl>
    <w:p w14:paraId="6EFD99A2" w14:textId="77777777" w:rsidR="00A25013" w:rsidRDefault="00000000">
      <w:pPr>
        <w:spacing w:before="60" w:after="80" w:line="264" w:lineRule="auto"/>
      </w:pPr>
      <w:r>
        <w:rPr>
          <w:i/>
          <w:iCs/>
          <w:color w:val="6B6B6B"/>
          <w:sz w:val="16"/>
          <w:szCs w:val="16"/>
        </w:rPr>
        <w:t>Equity arrives at two levels: Fund and Membership units at the fund level, and a direct 12.5% common stake in MEGALODOME GOLF CHICAGO WEST INC. Fund investors hold 500 Class B Units at $20,000, a 10% preferred return, 25% of distributable profits, and additional upside through MEGALODOME GOLF USA INC.; at month 60 two liquidity options apply (convert to Class A at 25%, or buyout via refinancing). Reflects a proposed restructured capital stack. Equity classes, the equity split, the direct 12.5% outside stake, and the distribution waterfall are illustrative and subject to amended offering documents and securities-counsel review before any investor use.</w:t>
      </w:r>
    </w:p>
    <w:p w14:paraId="324EFB7F" w14:textId="77777777" w:rsidR="008B7850" w:rsidRDefault="008B7850">
      <w:pPr>
        <w:rPr>
          <w:b/>
          <w:bCs/>
          <w:caps/>
          <w:color w:val="FFFFFF"/>
          <w:spacing w:val="20"/>
          <w:sz w:val="22"/>
          <w:szCs w:val="22"/>
        </w:rPr>
      </w:pPr>
      <w:r>
        <w:rPr>
          <w:b/>
          <w:bCs/>
          <w:caps/>
          <w:color w:val="FFFFFF"/>
          <w:spacing w:val="20"/>
          <w:sz w:val="22"/>
          <w:szCs w:val="22"/>
        </w:rPr>
        <w:br w:type="page"/>
      </w:r>
    </w:p>
    <w:p w14:paraId="11FBDF81" w14:textId="5F0A89A2" w:rsidR="00A25013" w:rsidRDefault="00000000">
      <w:pPr>
        <w:shd w:val="clear" w:color="auto" w:fill="2E2E2E"/>
        <w:spacing w:before="200" w:after="120"/>
      </w:pPr>
      <w:r>
        <w:rPr>
          <w:b/>
          <w:bCs/>
          <w:caps/>
          <w:color w:val="FFFFFF"/>
          <w:spacing w:val="20"/>
          <w:sz w:val="22"/>
          <w:szCs w:val="22"/>
        </w:rPr>
        <w:lastRenderedPageBreak/>
        <w:t xml:space="preserve">  3 · Performance Targets (modeled, not guaranteed)</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5040"/>
        <w:gridCol w:w="5040"/>
      </w:tblGrid>
      <w:tr w:rsidR="00A25013" w14:paraId="018A4B18" w14:textId="77777777">
        <w:tblPrEx>
          <w:tblCellMar>
            <w:top w:w="0" w:type="dxa"/>
            <w:bottom w:w="0" w:type="dxa"/>
          </w:tblCellMar>
        </w:tblPrEx>
        <w:tc>
          <w:tcPr>
            <w:tcW w:w="5040" w:type="dxa"/>
            <w:shd w:val="clear" w:color="auto" w:fill="2E2E2E"/>
            <w:tcMar>
              <w:top w:w="60" w:type="dxa"/>
              <w:left w:w="120" w:type="dxa"/>
              <w:bottom w:w="60" w:type="dxa"/>
              <w:right w:w="120" w:type="dxa"/>
            </w:tcMar>
          </w:tcPr>
          <w:p w14:paraId="06BA10E3" w14:textId="77777777" w:rsidR="00A25013" w:rsidRDefault="00000000">
            <w:pPr>
              <w:spacing w:before="20" w:after="20"/>
            </w:pPr>
            <w:r>
              <w:rPr>
                <w:b/>
                <w:bCs/>
                <w:color w:val="FFFFFF"/>
                <w:sz w:val="20"/>
                <w:szCs w:val="20"/>
              </w:rPr>
              <w:t>Metric</w:t>
            </w:r>
          </w:p>
        </w:tc>
        <w:tc>
          <w:tcPr>
            <w:tcW w:w="5040" w:type="dxa"/>
            <w:shd w:val="clear" w:color="auto" w:fill="2E2E2E"/>
            <w:tcMar>
              <w:top w:w="60" w:type="dxa"/>
              <w:left w:w="120" w:type="dxa"/>
              <w:bottom w:w="60" w:type="dxa"/>
              <w:right w:w="120" w:type="dxa"/>
            </w:tcMar>
          </w:tcPr>
          <w:p w14:paraId="2B2690B5" w14:textId="77777777" w:rsidR="00A25013" w:rsidRDefault="00000000">
            <w:pPr>
              <w:spacing w:before="20" w:after="20"/>
              <w:jc w:val="right"/>
            </w:pPr>
            <w:r>
              <w:rPr>
                <w:b/>
                <w:bCs/>
                <w:color w:val="FFFFFF"/>
                <w:sz w:val="20"/>
                <w:szCs w:val="20"/>
              </w:rPr>
              <w:t>Modeled Target</w:t>
            </w:r>
          </w:p>
        </w:tc>
      </w:tr>
      <w:tr w:rsidR="00A25013" w14:paraId="719DBB1F"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316F9B4E" w14:textId="77777777" w:rsidR="00A25013" w:rsidRDefault="00000000">
            <w:pPr>
              <w:spacing w:before="20" w:after="20"/>
            </w:pPr>
            <w:r>
              <w:rPr>
                <w:b/>
                <w:bCs/>
                <w:sz w:val="20"/>
                <w:szCs w:val="20"/>
              </w:rPr>
              <w:t>Blended net IRR to investor equity (5-yr hold)</w:t>
            </w:r>
          </w:p>
        </w:tc>
        <w:tc>
          <w:tcPr>
            <w:tcW w:w="5040" w:type="dxa"/>
            <w:shd w:val="clear" w:color="auto" w:fill="FFFFFF"/>
            <w:tcMar>
              <w:top w:w="60" w:type="dxa"/>
              <w:left w:w="120" w:type="dxa"/>
              <w:bottom w:w="60" w:type="dxa"/>
              <w:right w:w="120" w:type="dxa"/>
            </w:tcMar>
          </w:tcPr>
          <w:p w14:paraId="21A5D309" w14:textId="77777777" w:rsidR="00A25013" w:rsidRDefault="00000000">
            <w:pPr>
              <w:spacing w:before="20" w:after="20"/>
              <w:jc w:val="right"/>
            </w:pPr>
            <w:r>
              <w:rPr>
                <w:b/>
                <w:bCs/>
                <w:sz w:val="20"/>
                <w:szCs w:val="20"/>
              </w:rPr>
              <w:t>19.7%</w:t>
            </w:r>
          </w:p>
        </w:tc>
      </w:tr>
      <w:tr w:rsidR="00A25013" w14:paraId="61FD221B"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4B209B52" w14:textId="77777777" w:rsidR="00A25013" w:rsidRDefault="00000000">
            <w:pPr>
              <w:spacing w:before="20" w:after="20"/>
            </w:pPr>
            <w:r>
              <w:rPr>
                <w:b/>
                <w:bCs/>
                <w:sz w:val="20"/>
                <w:szCs w:val="20"/>
              </w:rPr>
              <w:t>Blended equity multiple (MOIC)</w:t>
            </w:r>
          </w:p>
        </w:tc>
        <w:tc>
          <w:tcPr>
            <w:tcW w:w="5040" w:type="dxa"/>
            <w:shd w:val="clear" w:color="auto" w:fill="FAF9F5"/>
            <w:tcMar>
              <w:top w:w="60" w:type="dxa"/>
              <w:left w:w="120" w:type="dxa"/>
              <w:bottom w:w="60" w:type="dxa"/>
              <w:right w:w="120" w:type="dxa"/>
            </w:tcMar>
          </w:tcPr>
          <w:p w14:paraId="3CF36F2F" w14:textId="77777777" w:rsidR="00A25013" w:rsidRDefault="00000000">
            <w:pPr>
              <w:spacing w:before="20" w:after="20"/>
              <w:jc w:val="right"/>
            </w:pPr>
            <w:r>
              <w:rPr>
                <w:b/>
                <w:bCs/>
                <w:sz w:val="20"/>
                <w:szCs w:val="20"/>
              </w:rPr>
              <w:t>≈2.35x</w:t>
            </w:r>
          </w:p>
        </w:tc>
      </w:tr>
      <w:tr w:rsidR="00A25013" w14:paraId="61ECF82A"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47126350" w14:textId="77777777" w:rsidR="00A25013" w:rsidRDefault="00000000">
            <w:pPr>
              <w:spacing w:before="20" w:after="20"/>
            </w:pPr>
            <w:r>
              <w:rPr>
                <w:sz w:val="20"/>
                <w:szCs w:val="20"/>
              </w:rPr>
              <w:t>— Fund ($10M) / Membership ($10M)</w:t>
            </w:r>
          </w:p>
        </w:tc>
        <w:tc>
          <w:tcPr>
            <w:tcW w:w="5040" w:type="dxa"/>
            <w:shd w:val="clear" w:color="auto" w:fill="FFFFFF"/>
            <w:tcMar>
              <w:top w:w="60" w:type="dxa"/>
              <w:left w:w="120" w:type="dxa"/>
              <w:bottom w:w="60" w:type="dxa"/>
              <w:right w:w="120" w:type="dxa"/>
            </w:tcMar>
          </w:tcPr>
          <w:p w14:paraId="2778D76B" w14:textId="77777777" w:rsidR="00A25013" w:rsidRDefault="00000000">
            <w:pPr>
              <w:spacing w:before="20" w:after="20"/>
              <w:jc w:val="right"/>
            </w:pPr>
            <w:r>
              <w:rPr>
                <w:sz w:val="20"/>
                <w:szCs w:val="20"/>
              </w:rPr>
              <w:t xml:space="preserve">Fund 26.7%/3.07x · </w:t>
            </w:r>
            <w:proofErr w:type="spellStart"/>
            <w:r>
              <w:rPr>
                <w:sz w:val="20"/>
                <w:szCs w:val="20"/>
              </w:rPr>
              <w:t>Memb</w:t>
            </w:r>
            <w:proofErr w:type="spellEnd"/>
            <w:r>
              <w:rPr>
                <w:sz w:val="20"/>
                <w:szCs w:val="20"/>
              </w:rPr>
              <w:t xml:space="preserve"> 9.7%/1.53x</w:t>
            </w:r>
          </w:p>
        </w:tc>
      </w:tr>
      <w:tr w:rsidR="00A25013" w14:paraId="16F73127"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5AF94A5C" w14:textId="77777777" w:rsidR="00A25013" w:rsidRDefault="00000000">
            <w:pPr>
              <w:spacing w:before="20" w:after="20"/>
            </w:pPr>
            <w:r>
              <w:rPr>
                <w:sz w:val="20"/>
                <w:szCs w:val="20"/>
              </w:rPr>
              <w:t>— Outside direct equity ($5M)</w:t>
            </w:r>
          </w:p>
        </w:tc>
        <w:tc>
          <w:tcPr>
            <w:tcW w:w="5040" w:type="dxa"/>
            <w:shd w:val="clear" w:color="auto" w:fill="FAF9F5"/>
            <w:tcMar>
              <w:top w:w="60" w:type="dxa"/>
              <w:left w:w="120" w:type="dxa"/>
              <w:bottom w:w="60" w:type="dxa"/>
              <w:right w:w="120" w:type="dxa"/>
            </w:tcMar>
          </w:tcPr>
          <w:p w14:paraId="28A682DD" w14:textId="77777777" w:rsidR="00A25013" w:rsidRDefault="00000000">
            <w:pPr>
              <w:spacing w:before="20" w:after="20"/>
              <w:jc w:val="right"/>
            </w:pPr>
            <w:r>
              <w:rPr>
                <w:sz w:val="20"/>
                <w:szCs w:val="20"/>
              </w:rPr>
              <w:t xml:space="preserve">20.8% </w:t>
            </w:r>
            <w:proofErr w:type="gramStart"/>
            <w:r>
              <w:rPr>
                <w:sz w:val="20"/>
                <w:szCs w:val="20"/>
              </w:rPr>
              <w:t>IRR  ·</w:t>
            </w:r>
            <w:proofErr w:type="gramEnd"/>
            <w:r>
              <w:rPr>
                <w:sz w:val="20"/>
                <w:szCs w:val="20"/>
              </w:rPr>
              <w:t xml:space="preserve">  2.57x</w:t>
            </w:r>
          </w:p>
        </w:tc>
      </w:tr>
      <w:tr w:rsidR="00A25013" w14:paraId="0DAA2398"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242568FB" w14:textId="77777777" w:rsidR="00A25013" w:rsidRDefault="00000000">
            <w:pPr>
              <w:spacing w:before="20" w:after="20"/>
            </w:pPr>
            <w:r>
              <w:rPr>
                <w:sz w:val="20"/>
                <w:szCs w:val="20"/>
              </w:rPr>
              <w:t>Preferred return</w:t>
            </w:r>
          </w:p>
        </w:tc>
        <w:tc>
          <w:tcPr>
            <w:tcW w:w="5040" w:type="dxa"/>
            <w:shd w:val="clear" w:color="auto" w:fill="FFFFFF"/>
            <w:tcMar>
              <w:top w:w="60" w:type="dxa"/>
              <w:left w:w="120" w:type="dxa"/>
              <w:bottom w:w="60" w:type="dxa"/>
              <w:right w:w="120" w:type="dxa"/>
            </w:tcMar>
          </w:tcPr>
          <w:p w14:paraId="4A39276B" w14:textId="77777777" w:rsidR="00A25013" w:rsidRDefault="00000000">
            <w:pPr>
              <w:spacing w:before="20" w:after="20"/>
              <w:jc w:val="right"/>
            </w:pPr>
            <w:r>
              <w:rPr>
                <w:sz w:val="20"/>
                <w:szCs w:val="20"/>
              </w:rPr>
              <w:t>10% p.a., cumulative, non-compounded</w:t>
            </w:r>
          </w:p>
        </w:tc>
      </w:tr>
      <w:tr w:rsidR="00A25013" w14:paraId="0D432B5E"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53242B06" w14:textId="77777777" w:rsidR="00A25013" w:rsidRDefault="00000000">
            <w:pPr>
              <w:spacing w:before="20" w:after="20"/>
            </w:pPr>
            <w:r>
              <w:rPr>
                <w:sz w:val="20"/>
                <w:szCs w:val="20"/>
              </w:rPr>
              <w:t>Year-5 EBITDA</w:t>
            </w:r>
          </w:p>
        </w:tc>
        <w:tc>
          <w:tcPr>
            <w:tcW w:w="5040" w:type="dxa"/>
            <w:shd w:val="clear" w:color="auto" w:fill="FAF9F5"/>
            <w:tcMar>
              <w:top w:w="60" w:type="dxa"/>
              <w:left w:w="120" w:type="dxa"/>
              <w:bottom w:w="60" w:type="dxa"/>
              <w:right w:w="120" w:type="dxa"/>
            </w:tcMar>
          </w:tcPr>
          <w:p w14:paraId="2D9376D9" w14:textId="77777777" w:rsidR="00A25013" w:rsidRDefault="00000000">
            <w:pPr>
              <w:spacing w:before="20" w:after="20"/>
              <w:jc w:val="right"/>
            </w:pPr>
            <w:r>
              <w:rPr>
                <w:sz w:val="20"/>
                <w:szCs w:val="20"/>
              </w:rPr>
              <w:t>$15.0</w:t>
            </w:r>
            <w:proofErr w:type="gramStart"/>
            <w:r>
              <w:rPr>
                <w:sz w:val="20"/>
                <w:szCs w:val="20"/>
              </w:rPr>
              <w:t>M  (</w:t>
            </w:r>
            <w:proofErr w:type="gramEnd"/>
            <w:r>
              <w:rPr>
                <w:sz w:val="20"/>
                <w:szCs w:val="20"/>
              </w:rPr>
              <w:t>≈62% margin)</w:t>
            </w:r>
          </w:p>
        </w:tc>
      </w:tr>
      <w:tr w:rsidR="00A25013" w14:paraId="37CB6C1F"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64E36207" w14:textId="77777777" w:rsidR="00A25013" w:rsidRDefault="00000000">
            <w:pPr>
              <w:spacing w:before="20" w:after="20"/>
            </w:pPr>
            <w:r>
              <w:rPr>
                <w:sz w:val="20"/>
                <w:szCs w:val="20"/>
              </w:rPr>
              <w:t>Year-5 enterprise value (9.0x EBITDA)</w:t>
            </w:r>
          </w:p>
        </w:tc>
        <w:tc>
          <w:tcPr>
            <w:tcW w:w="5040" w:type="dxa"/>
            <w:shd w:val="clear" w:color="auto" w:fill="FFFFFF"/>
            <w:tcMar>
              <w:top w:w="60" w:type="dxa"/>
              <w:left w:w="120" w:type="dxa"/>
              <w:bottom w:w="60" w:type="dxa"/>
              <w:right w:w="120" w:type="dxa"/>
            </w:tcMar>
          </w:tcPr>
          <w:p w14:paraId="02349F2E" w14:textId="77777777" w:rsidR="00A25013" w:rsidRDefault="00000000">
            <w:pPr>
              <w:spacing w:before="20" w:after="20"/>
              <w:jc w:val="right"/>
            </w:pPr>
            <w:r>
              <w:rPr>
                <w:sz w:val="20"/>
                <w:szCs w:val="20"/>
              </w:rPr>
              <w:t>$135.1M</w:t>
            </w:r>
          </w:p>
        </w:tc>
      </w:tr>
      <w:tr w:rsidR="00A25013" w14:paraId="21C4C9A9"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11FFB4E3" w14:textId="77777777" w:rsidR="00A25013" w:rsidRDefault="00000000">
            <w:pPr>
              <w:spacing w:before="20" w:after="20"/>
            </w:pPr>
            <w:r>
              <w:rPr>
                <w:sz w:val="20"/>
                <w:szCs w:val="20"/>
              </w:rPr>
              <w:t>Year-5 equity value at exit (net of debt)</w:t>
            </w:r>
          </w:p>
        </w:tc>
        <w:tc>
          <w:tcPr>
            <w:tcW w:w="5040" w:type="dxa"/>
            <w:shd w:val="clear" w:color="auto" w:fill="FAF9F5"/>
            <w:tcMar>
              <w:top w:w="60" w:type="dxa"/>
              <w:left w:w="120" w:type="dxa"/>
              <w:bottom w:w="60" w:type="dxa"/>
              <w:right w:w="120" w:type="dxa"/>
            </w:tcMar>
          </w:tcPr>
          <w:p w14:paraId="19CB27DB" w14:textId="77777777" w:rsidR="00A25013" w:rsidRDefault="00000000">
            <w:pPr>
              <w:spacing w:before="20" w:after="20"/>
              <w:jc w:val="right"/>
            </w:pPr>
            <w:r>
              <w:rPr>
                <w:sz w:val="20"/>
                <w:szCs w:val="20"/>
              </w:rPr>
              <w:t>$102.8M</w:t>
            </w:r>
          </w:p>
        </w:tc>
      </w:tr>
    </w:tbl>
    <w:p w14:paraId="15792EB7" w14:textId="77777777" w:rsidR="00A25013" w:rsidRDefault="00000000">
      <w:pPr>
        <w:spacing w:before="60" w:after="80" w:line="264" w:lineRule="auto"/>
      </w:pPr>
      <w:r>
        <w:rPr>
          <w:i/>
          <w:iCs/>
          <w:color w:val="6B6B6B"/>
          <w:sz w:val="16"/>
          <w:szCs w:val="16"/>
        </w:rPr>
        <w:t>These are targets, not guarantees, and depend on the assumptions in the accompanying pro-forma — several of which (debt terms, Year-1 occupancy ramp, exit multiple) remain to be finalized and are stress-tested in the model.</w:t>
      </w:r>
    </w:p>
    <w:p w14:paraId="6501DF8C" w14:textId="77777777" w:rsidR="00A25013" w:rsidRDefault="00000000">
      <w:pPr>
        <w:shd w:val="clear" w:color="auto" w:fill="2E2E2E"/>
        <w:spacing w:before="200" w:after="120"/>
      </w:pPr>
      <w:r>
        <w:rPr>
          <w:b/>
          <w:bCs/>
          <w:caps/>
          <w:color w:val="FFFFFF"/>
          <w:spacing w:val="20"/>
          <w:sz w:val="22"/>
          <w:szCs w:val="22"/>
        </w:rPr>
        <w:t xml:space="preserve">  4 · Distribution Model — The Waterfall</w:t>
      </w:r>
    </w:p>
    <w:p w14:paraId="13E9D920" w14:textId="77777777" w:rsidR="00A25013" w:rsidRDefault="00000000">
      <w:pPr>
        <w:spacing w:before="40" w:after="100" w:line="264" w:lineRule="auto"/>
      </w:pPr>
      <w:r>
        <w:t>The Fund uses a whole-fund (European-style) waterfall. Cash flows and exit proceeds are distributed in the following order:</w:t>
      </w:r>
    </w:p>
    <w:p w14:paraId="0D3B5D3F" w14:textId="77777777" w:rsidR="00A25013" w:rsidRDefault="00000000">
      <w:pPr>
        <w:pStyle w:val="ListParagraph"/>
        <w:numPr>
          <w:ilvl w:val="0"/>
          <w:numId w:val="1"/>
        </w:numPr>
        <w:spacing w:after="60" w:line="260" w:lineRule="auto"/>
      </w:pPr>
      <w:r>
        <w:rPr>
          <w:sz w:val="20"/>
          <w:szCs w:val="20"/>
        </w:rPr>
        <w:t>1. The Strategic/Outside investor holds a 12.5% common stake in MEGALODOME GOLF CHICAGO WEST INC., participating in equity value at exit, plus additional upside through MEGALODOME GOLF USA INC.</w:t>
      </w:r>
    </w:p>
    <w:p w14:paraId="3974EB57" w14:textId="77777777" w:rsidR="00A25013" w:rsidRDefault="00000000">
      <w:pPr>
        <w:pStyle w:val="ListParagraph"/>
        <w:numPr>
          <w:ilvl w:val="0"/>
          <w:numId w:val="1"/>
        </w:numPr>
        <w:spacing w:after="60" w:line="260" w:lineRule="auto"/>
      </w:pPr>
      <w:r>
        <w:rPr>
          <w:sz w:val="20"/>
          <w:szCs w:val="20"/>
        </w:rPr>
        <w:t>2. Fund and Membership limited partners receive return of capital.</w:t>
      </w:r>
    </w:p>
    <w:p w14:paraId="55753DF3" w14:textId="77777777" w:rsidR="00A25013" w:rsidRDefault="00000000">
      <w:pPr>
        <w:pStyle w:val="ListParagraph"/>
        <w:numPr>
          <w:ilvl w:val="0"/>
          <w:numId w:val="1"/>
        </w:numPr>
        <w:spacing w:after="60" w:line="260" w:lineRule="auto"/>
      </w:pPr>
      <w:r>
        <w:rPr>
          <w:sz w:val="20"/>
          <w:szCs w:val="20"/>
        </w:rPr>
        <w:t>3. Fund and Membership then receive the 10% cumulative preferred return; unpaid amounts accrue (PIK) and are settled at exit.</w:t>
      </w:r>
    </w:p>
    <w:p w14:paraId="0DD668D9" w14:textId="77777777" w:rsidR="00A25013" w:rsidRDefault="00000000">
      <w:pPr>
        <w:pStyle w:val="ListParagraph"/>
        <w:numPr>
          <w:ilvl w:val="0"/>
          <w:numId w:val="1"/>
        </w:numPr>
        <w:spacing w:after="60" w:line="260" w:lineRule="auto"/>
      </w:pPr>
      <w:r>
        <w:rPr>
          <w:sz w:val="20"/>
          <w:szCs w:val="20"/>
        </w:rPr>
        <w:t>4. Above the preferred return, exit equity follows ownership: Fund 25%, Membership 10%, Strategic/Outside 12.5%, and MEGALODOME GOLF USA INC. (Manager) 52.5%.</w:t>
      </w:r>
    </w:p>
    <w:p w14:paraId="758110F0" w14:textId="77777777" w:rsidR="00A25013" w:rsidRDefault="00000000">
      <w:pPr>
        <w:spacing w:before="120" w:after="40" w:line="264" w:lineRule="auto"/>
      </w:pPr>
      <w:r>
        <w:rPr>
          <w:b/>
          <w:bCs/>
          <w:sz w:val="20"/>
          <w:szCs w:val="20"/>
        </w:rPr>
        <w:t>Illustrative split of exit equity value:</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5040"/>
        <w:gridCol w:w="5040"/>
      </w:tblGrid>
      <w:tr w:rsidR="00A25013" w14:paraId="3B3A823C" w14:textId="77777777">
        <w:tblPrEx>
          <w:tblCellMar>
            <w:top w:w="0" w:type="dxa"/>
            <w:bottom w:w="0" w:type="dxa"/>
          </w:tblCellMar>
        </w:tblPrEx>
        <w:tc>
          <w:tcPr>
            <w:tcW w:w="5040" w:type="dxa"/>
            <w:shd w:val="clear" w:color="auto" w:fill="2E2E2E"/>
            <w:tcMar>
              <w:top w:w="60" w:type="dxa"/>
              <w:left w:w="120" w:type="dxa"/>
              <w:bottom w:w="60" w:type="dxa"/>
              <w:right w:w="120" w:type="dxa"/>
            </w:tcMar>
          </w:tcPr>
          <w:p w14:paraId="7373CBA8" w14:textId="77777777" w:rsidR="00A25013" w:rsidRDefault="00000000">
            <w:pPr>
              <w:spacing w:before="20" w:after="20"/>
            </w:pPr>
            <w:r>
              <w:rPr>
                <w:b/>
                <w:bCs/>
                <w:color w:val="FFFFFF"/>
                <w:sz w:val="20"/>
                <w:szCs w:val="20"/>
              </w:rPr>
              <w:t>Class / Tranche</w:t>
            </w:r>
          </w:p>
        </w:tc>
        <w:tc>
          <w:tcPr>
            <w:tcW w:w="5040" w:type="dxa"/>
            <w:shd w:val="clear" w:color="auto" w:fill="2E2E2E"/>
            <w:tcMar>
              <w:top w:w="60" w:type="dxa"/>
              <w:left w:w="120" w:type="dxa"/>
              <w:bottom w:w="60" w:type="dxa"/>
              <w:right w:w="120" w:type="dxa"/>
            </w:tcMar>
          </w:tcPr>
          <w:p w14:paraId="3C58F1A1" w14:textId="77777777" w:rsidR="00A25013" w:rsidRDefault="00000000">
            <w:pPr>
              <w:spacing w:before="20" w:after="20"/>
              <w:jc w:val="right"/>
            </w:pPr>
            <w:r>
              <w:rPr>
                <w:b/>
                <w:bCs/>
                <w:color w:val="FFFFFF"/>
                <w:sz w:val="20"/>
                <w:szCs w:val="20"/>
              </w:rPr>
              <w:t>Share of exit equity</w:t>
            </w:r>
          </w:p>
        </w:tc>
      </w:tr>
      <w:tr w:rsidR="00A25013" w14:paraId="52023274"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4EA2FBFB" w14:textId="77777777" w:rsidR="00A25013" w:rsidRDefault="00000000">
            <w:pPr>
              <w:spacing w:before="20" w:after="20"/>
            </w:pPr>
            <w:r>
              <w:rPr>
                <w:sz w:val="20"/>
                <w:szCs w:val="20"/>
              </w:rPr>
              <w:t>Outside — direct stake in Chicago West</w:t>
            </w:r>
          </w:p>
        </w:tc>
        <w:tc>
          <w:tcPr>
            <w:tcW w:w="5040" w:type="dxa"/>
            <w:shd w:val="clear" w:color="auto" w:fill="FFFFFF"/>
            <w:tcMar>
              <w:top w:w="60" w:type="dxa"/>
              <w:left w:w="120" w:type="dxa"/>
              <w:bottom w:w="60" w:type="dxa"/>
              <w:right w:w="120" w:type="dxa"/>
            </w:tcMar>
          </w:tcPr>
          <w:p w14:paraId="5DA9B143" w14:textId="77777777" w:rsidR="00A25013" w:rsidRDefault="00000000">
            <w:pPr>
              <w:spacing w:before="20" w:after="20"/>
              <w:jc w:val="right"/>
            </w:pPr>
            <w:r>
              <w:rPr>
                <w:sz w:val="20"/>
                <w:szCs w:val="20"/>
              </w:rPr>
              <w:t>12.50%</w:t>
            </w:r>
          </w:p>
        </w:tc>
      </w:tr>
      <w:tr w:rsidR="00A25013" w14:paraId="0F9F74F3"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3956612F" w14:textId="77777777" w:rsidR="00A25013" w:rsidRDefault="00000000">
            <w:pPr>
              <w:spacing w:before="20" w:after="20"/>
            </w:pPr>
            <w:r>
              <w:rPr>
                <w:sz w:val="20"/>
                <w:szCs w:val="20"/>
              </w:rPr>
              <w:t>Fund — Class B preferred</w:t>
            </w:r>
          </w:p>
        </w:tc>
        <w:tc>
          <w:tcPr>
            <w:tcW w:w="5040" w:type="dxa"/>
            <w:shd w:val="clear" w:color="auto" w:fill="FAF9F5"/>
            <w:tcMar>
              <w:top w:w="60" w:type="dxa"/>
              <w:left w:w="120" w:type="dxa"/>
              <w:bottom w:w="60" w:type="dxa"/>
              <w:right w:w="120" w:type="dxa"/>
            </w:tcMar>
          </w:tcPr>
          <w:p w14:paraId="41DB2822" w14:textId="77777777" w:rsidR="00A25013" w:rsidRDefault="00000000">
            <w:pPr>
              <w:spacing w:before="20" w:after="20"/>
              <w:jc w:val="right"/>
            </w:pPr>
            <w:r>
              <w:rPr>
                <w:sz w:val="20"/>
                <w:szCs w:val="20"/>
              </w:rPr>
              <w:t>25.00%</w:t>
            </w:r>
          </w:p>
        </w:tc>
      </w:tr>
      <w:tr w:rsidR="00A25013" w14:paraId="5745F870" w14:textId="77777777">
        <w:tblPrEx>
          <w:tblCellMar>
            <w:top w:w="0" w:type="dxa"/>
            <w:bottom w:w="0" w:type="dxa"/>
          </w:tblCellMar>
        </w:tblPrEx>
        <w:tc>
          <w:tcPr>
            <w:tcW w:w="5040" w:type="dxa"/>
            <w:shd w:val="clear" w:color="auto" w:fill="FFFFFF"/>
            <w:tcMar>
              <w:top w:w="60" w:type="dxa"/>
              <w:left w:w="120" w:type="dxa"/>
              <w:bottom w:w="60" w:type="dxa"/>
              <w:right w:w="120" w:type="dxa"/>
            </w:tcMar>
          </w:tcPr>
          <w:p w14:paraId="73564486" w14:textId="77777777" w:rsidR="00A25013" w:rsidRDefault="00000000">
            <w:pPr>
              <w:spacing w:before="20" w:after="20"/>
            </w:pPr>
            <w:r>
              <w:rPr>
                <w:sz w:val="20"/>
                <w:szCs w:val="20"/>
              </w:rPr>
              <w:t>Membership equity</w:t>
            </w:r>
          </w:p>
        </w:tc>
        <w:tc>
          <w:tcPr>
            <w:tcW w:w="5040" w:type="dxa"/>
            <w:shd w:val="clear" w:color="auto" w:fill="FFFFFF"/>
            <w:tcMar>
              <w:top w:w="60" w:type="dxa"/>
              <w:left w:w="120" w:type="dxa"/>
              <w:bottom w:w="60" w:type="dxa"/>
              <w:right w:w="120" w:type="dxa"/>
            </w:tcMar>
          </w:tcPr>
          <w:p w14:paraId="4F8FB600" w14:textId="77777777" w:rsidR="00A25013" w:rsidRDefault="00000000">
            <w:pPr>
              <w:spacing w:before="20" w:after="20"/>
              <w:jc w:val="right"/>
            </w:pPr>
            <w:r>
              <w:rPr>
                <w:sz w:val="20"/>
                <w:szCs w:val="20"/>
              </w:rPr>
              <w:t>10.00%</w:t>
            </w:r>
          </w:p>
        </w:tc>
      </w:tr>
      <w:tr w:rsidR="00A25013" w14:paraId="28C28C6C" w14:textId="77777777">
        <w:tblPrEx>
          <w:tblCellMar>
            <w:top w:w="0" w:type="dxa"/>
            <w:bottom w:w="0" w:type="dxa"/>
          </w:tblCellMar>
        </w:tblPrEx>
        <w:tc>
          <w:tcPr>
            <w:tcW w:w="5040" w:type="dxa"/>
            <w:shd w:val="clear" w:color="auto" w:fill="FAF9F5"/>
            <w:tcMar>
              <w:top w:w="60" w:type="dxa"/>
              <w:left w:w="120" w:type="dxa"/>
              <w:bottom w:w="60" w:type="dxa"/>
              <w:right w:w="120" w:type="dxa"/>
            </w:tcMar>
          </w:tcPr>
          <w:p w14:paraId="3258C3BE" w14:textId="77777777" w:rsidR="00A25013" w:rsidRDefault="00000000">
            <w:pPr>
              <w:spacing w:before="20" w:after="20"/>
            </w:pPr>
            <w:r>
              <w:rPr>
                <w:sz w:val="20"/>
                <w:szCs w:val="20"/>
              </w:rPr>
              <w:t>MEGALODOME GOLF USA INC. (Manager)</w:t>
            </w:r>
          </w:p>
        </w:tc>
        <w:tc>
          <w:tcPr>
            <w:tcW w:w="5040" w:type="dxa"/>
            <w:shd w:val="clear" w:color="auto" w:fill="FAF9F5"/>
            <w:tcMar>
              <w:top w:w="60" w:type="dxa"/>
              <w:left w:w="120" w:type="dxa"/>
              <w:bottom w:w="60" w:type="dxa"/>
              <w:right w:w="120" w:type="dxa"/>
            </w:tcMar>
          </w:tcPr>
          <w:p w14:paraId="125A2ED0" w14:textId="77777777" w:rsidR="00A25013" w:rsidRDefault="00000000">
            <w:pPr>
              <w:spacing w:before="20" w:after="20"/>
              <w:jc w:val="right"/>
            </w:pPr>
            <w:r>
              <w:rPr>
                <w:sz w:val="20"/>
                <w:szCs w:val="20"/>
              </w:rPr>
              <w:t>52.50%</w:t>
            </w:r>
          </w:p>
        </w:tc>
      </w:tr>
      <w:tr w:rsidR="00A25013" w14:paraId="7A5FED79" w14:textId="77777777">
        <w:tblPrEx>
          <w:tblCellMar>
            <w:top w:w="0" w:type="dxa"/>
            <w:bottom w:w="0" w:type="dxa"/>
          </w:tblCellMar>
        </w:tblPrEx>
        <w:tc>
          <w:tcPr>
            <w:tcW w:w="5040" w:type="dxa"/>
            <w:shd w:val="clear" w:color="auto" w:fill="EEDCA7"/>
            <w:tcMar>
              <w:top w:w="60" w:type="dxa"/>
              <w:left w:w="120" w:type="dxa"/>
              <w:bottom w:w="60" w:type="dxa"/>
              <w:right w:w="120" w:type="dxa"/>
            </w:tcMar>
          </w:tcPr>
          <w:p w14:paraId="4A91E12D" w14:textId="77777777" w:rsidR="00A25013" w:rsidRDefault="00000000">
            <w:pPr>
              <w:spacing w:before="20" w:after="20"/>
            </w:pPr>
            <w:r>
              <w:rPr>
                <w:sz w:val="20"/>
                <w:szCs w:val="20"/>
              </w:rPr>
              <w:t>Total</w:t>
            </w:r>
          </w:p>
        </w:tc>
        <w:tc>
          <w:tcPr>
            <w:tcW w:w="5040" w:type="dxa"/>
            <w:shd w:val="clear" w:color="auto" w:fill="EEDCA7"/>
            <w:tcMar>
              <w:top w:w="60" w:type="dxa"/>
              <w:left w:w="120" w:type="dxa"/>
              <w:bottom w:w="60" w:type="dxa"/>
              <w:right w:w="120" w:type="dxa"/>
            </w:tcMar>
          </w:tcPr>
          <w:p w14:paraId="5978624C" w14:textId="77777777" w:rsidR="00A25013" w:rsidRDefault="00000000">
            <w:pPr>
              <w:spacing w:before="20" w:after="20"/>
              <w:jc w:val="right"/>
            </w:pPr>
            <w:r>
              <w:rPr>
                <w:b/>
                <w:bCs/>
                <w:sz w:val="20"/>
                <w:szCs w:val="20"/>
              </w:rPr>
              <w:t>100.00%</w:t>
            </w:r>
          </w:p>
        </w:tc>
      </w:tr>
    </w:tbl>
    <w:p w14:paraId="4D26426D" w14:textId="77777777" w:rsidR="00A25013" w:rsidRDefault="00000000">
      <w:pPr>
        <w:shd w:val="clear" w:color="auto" w:fill="2E2E2E"/>
        <w:spacing w:before="200" w:after="120"/>
      </w:pPr>
      <w:r>
        <w:rPr>
          <w:b/>
          <w:bCs/>
          <w:caps/>
          <w:color w:val="FFFFFF"/>
          <w:spacing w:val="20"/>
          <w:sz w:val="22"/>
          <w:szCs w:val="22"/>
        </w:rPr>
        <w:t xml:space="preserve">  5 · Aligned Incentives &amp; Downside Protection</w:t>
      </w:r>
    </w:p>
    <w:p w14:paraId="4FCF3905" w14:textId="77777777" w:rsidR="00A25013" w:rsidRDefault="00000000">
      <w:pPr>
        <w:pStyle w:val="ListParagraph"/>
        <w:numPr>
          <w:ilvl w:val="0"/>
          <w:numId w:val="1"/>
        </w:numPr>
        <w:spacing w:after="60" w:line="260" w:lineRule="auto"/>
      </w:pPr>
      <w:r>
        <w:rPr>
          <w:sz w:val="20"/>
          <w:szCs w:val="20"/>
        </w:rPr>
        <w:t>The 10% cumulative preferred return is the Fund/Membership protected floor; MEGALODOME GOLF USA INC. (the Manager) realizes its 52.5% equity share only after the preferred return is satisfied.</w:t>
      </w:r>
    </w:p>
    <w:p w14:paraId="5BCB6475" w14:textId="77777777" w:rsidR="00A25013" w:rsidRDefault="00000000">
      <w:pPr>
        <w:pStyle w:val="ListParagraph"/>
        <w:numPr>
          <w:ilvl w:val="0"/>
          <w:numId w:val="1"/>
        </w:numPr>
        <w:spacing w:after="60" w:line="260" w:lineRule="auto"/>
      </w:pPr>
      <w:r>
        <w:rPr>
          <w:sz w:val="20"/>
          <w:szCs w:val="20"/>
        </w:rPr>
        <w:t>Real-estate-backed asset: a 100-acre site and four domes provide tangible collateral value, not a software promise.</w:t>
      </w:r>
    </w:p>
    <w:p w14:paraId="24D9CF12" w14:textId="77777777" w:rsidR="00A25013" w:rsidRDefault="00000000">
      <w:pPr>
        <w:pStyle w:val="ListParagraph"/>
        <w:numPr>
          <w:ilvl w:val="0"/>
          <w:numId w:val="1"/>
        </w:numPr>
        <w:spacing w:after="60" w:line="260" w:lineRule="auto"/>
      </w:pPr>
      <w:r>
        <w:rPr>
          <w:sz w:val="20"/>
          <w:szCs w:val="20"/>
        </w:rPr>
        <w:t>Nine diversified revenue streams reduce single-line volatility; recurring memberships, leagues, and school/college contracts underpin the base.</w:t>
      </w:r>
    </w:p>
    <w:p w14:paraId="52E9B4F6" w14:textId="77777777" w:rsidR="00A25013" w:rsidRDefault="00000000">
      <w:pPr>
        <w:pStyle w:val="ListParagraph"/>
        <w:numPr>
          <w:ilvl w:val="0"/>
          <w:numId w:val="1"/>
        </w:numPr>
        <w:spacing w:after="60" w:line="260" w:lineRule="auto"/>
      </w:pPr>
      <w:r>
        <w:rPr>
          <w:sz w:val="20"/>
          <w:szCs w:val="20"/>
        </w:rPr>
        <w:t>A 12-month interest reserve and 10% construction contingency are built into uses of funds — sized to cover ramp-year debt service while occupancy stabilizes.</w:t>
      </w:r>
    </w:p>
    <w:p w14:paraId="6AD02FE2" w14:textId="77777777" w:rsidR="00A25013" w:rsidRDefault="00000000">
      <w:pPr>
        <w:shd w:val="clear" w:color="auto" w:fill="2E2E2E"/>
        <w:spacing w:before="200" w:after="120"/>
      </w:pPr>
      <w:r>
        <w:rPr>
          <w:b/>
          <w:bCs/>
          <w:caps/>
          <w:color w:val="FFFFFF"/>
          <w:spacing w:val="20"/>
          <w:sz w:val="22"/>
          <w:szCs w:val="22"/>
        </w:rPr>
        <w:lastRenderedPageBreak/>
        <w:t xml:space="preserve">  6 · Exit Strategy</w:t>
      </w:r>
    </w:p>
    <w:p w14:paraId="4FC9EE3B" w14:textId="77777777" w:rsidR="00A25013" w:rsidRDefault="00000000">
      <w:pPr>
        <w:spacing w:before="40" w:after="100" w:line="264" w:lineRule="auto"/>
      </w:pPr>
      <w:r>
        <w:t>Capital is returned within a five-year horizon through one of three mechanisms: (a) refinance of the stabilized asset after Year 4, returning equity while retaining ownership; (b) sale to a strategic golf/hospitality operator or institutional real-estate buyer at a stabilized EBITDA multiple; or (c) sale-leaseback to a triple-net REIT. The base case models a Year-5 exit at 9.0x stabilized EBITDA, net of debt.</w:t>
      </w:r>
    </w:p>
    <w:p w14:paraId="10C53477" w14:textId="77777777" w:rsidR="00A25013" w:rsidRDefault="00000000">
      <w:pPr>
        <w:shd w:val="clear" w:color="auto" w:fill="2E2E2E"/>
        <w:spacing w:before="200" w:after="120"/>
      </w:pPr>
      <w:r>
        <w:rPr>
          <w:b/>
          <w:bCs/>
          <w:caps/>
          <w:color w:val="FFFFFF"/>
          <w:spacing w:val="20"/>
          <w:sz w:val="22"/>
          <w:szCs w:val="22"/>
        </w:rPr>
        <w:t xml:space="preserve">  7 · Track Record &amp; Operating History</w:t>
      </w:r>
    </w:p>
    <w:p w14:paraId="787A6356" w14:textId="77777777" w:rsidR="00A25013" w:rsidRDefault="00000000">
      <w:pPr>
        <w:spacing w:before="40" w:after="100" w:line="264" w:lineRule="auto"/>
      </w:pPr>
      <w:r>
        <w:t xml:space="preserve">MEGALODOME GOLF is a category-defining first project, so the team frames what is true rather than fabricating realized fund returns. Four years of pre-development work have produced unanimous municipal approval, full design documentation, and a complete financial model. </w:t>
      </w:r>
      <w:proofErr w:type="spellStart"/>
      <w:r>
        <w:t>SportsDome</w:t>
      </w:r>
      <w:proofErr w:type="spellEnd"/>
      <w:r>
        <w:t xml:space="preserve"> Advisory contributes a 15+ year proven school-program operating model (</w:t>
      </w:r>
      <w:proofErr w:type="spellStart"/>
      <w:r>
        <w:t>SportsDome</w:t>
      </w:r>
      <w:proofErr w:type="spellEnd"/>
      <w:r>
        <w:t xml:space="preserve"> Bus, Sport-Étude integration) that fills weekday non-prime hours with institutional revenue — a direct, transferable operating track record.</w:t>
      </w:r>
    </w:p>
    <w:p w14:paraId="0A41DD98" w14:textId="77777777" w:rsidR="00A25013" w:rsidRDefault="00000000">
      <w:pPr>
        <w:shd w:val="clear" w:color="auto" w:fill="2E2E2E"/>
        <w:spacing w:before="200" w:after="120"/>
      </w:pPr>
      <w:r>
        <w:rPr>
          <w:b/>
          <w:bCs/>
          <w:caps/>
          <w:color w:val="FFFFFF"/>
          <w:spacing w:val="20"/>
          <w:sz w:val="22"/>
          <w:szCs w:val="22"/>
        </w:rPr>
        <w:t xml:space="preserve">  8 · Team &amp; Governance</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000" w:firstRow="0" w:lastRow="0" w:firstColumn="0" w:lastColumn="0" w:noHBand="0" w:noVBand="0"/>
      </w:tblPr>
      <w:tblGrid>
        <w:gridCol w:w="4400"/>
        <w:gridCol w:w="5680"/>
      </w:tblGrid>
      <w:tr w:rsidR="00A25013" w14:paraId="58E1223B" w14:textId="77777777">
        <w:tblPrEx>
          <w:tblCellMar>
            <w:top w:w="0" w:type="dxa"/>
            <w:bottom w:w="0" w:type="dxa"/>
          </w:tblCellMar>
        </w:tblPrEx>
        <w:tc>
          <w:tcPr>
            <w:tcW w:w="4400" w:type="dxa"/>
            <w:shd w:val="clear" w:color="auto" w:fill="2E2E2E"/>
            <w:tcMar>
              <w:top w:w="60" w:type="dxa"/>
              <w:left w:w="120" w:type="dxa"/>
              <w:bottom w:w="60" w:type="dxa"/>
              <w:right w:w="120" w:type="dxa"/>
            </w:tcMar>
          </w:tcPr>
          <w:p w14:paraId="1BDED3BB" w14:textId="77777777" w:rsidR="00A25013" w:rsidRDefault="00000000">
            <w:pPr>
              <w:spacing w:before="20" w:after="20"/>
            </w:pPr>
            <w:r>
              <w:rPr>
                <w:b/>
                <w:bCs/>
                <w:color w:val="FFFFFF"/>
                <w:sz w:val="20"/>
                <w:szCs w:val="20"/>
              </w:rPr>
              <w:t>Principal</w:t>
            </w:r>
          </w:p>
        </w:tc>
        <w:tc>
          <w:tcPr>
            <w:tcW w:w="5680" w:type="dxa"/>
            <w:shd w:val="clear" w:color="auto" w:fill="2E2E2E"/>
            <w:tcMar>
              <w:top w:w="60" w:type="dxa"/>
              <w:left w:w="120" w:type="dxa"/>
              <w:bottom w:w="60" w:type="dxa"/>
              <w:right w:w="120" w:type="dxa"/>
            </w:tcMar>
          </w:tcPr>
          <w:p w14:paraId="4E6D79A9" w14:textId="77777777" w:rsidR="00A25013" w:rsidRDefault="00000000">
            <w:pPr>
              <w:spacing w:before="20" w:after="20"/>
              <w:jc w:val="right"/>
            </w:pPr>
            <w:r>
              <w:rPr>
                <w:b/>
                <w:bCs/>
                <w:color w:val="FFFFFF"/>
                <w:sz w:val="20"/>
                <w:szCs w:val="20"/>
              </w:rPr>
              <w:t>Role &amp; Credential</w:t>
            </w:r>
          </w:p>
        </w:tc>
      </w:tr>
      <w:tr w:rsidR="00A25013" w14:paraId="7CC5C6C5" w14:textId="77777777">
        <w:tblPrEx>
          <w:tblCellMar>
            <w:top w:w="0" w:type="dxa"/>
            <w:bottom w:w="0" w:type="dxa"/>
          </w:tblCellMar>
        </w:tblPrEx>
        <w:tc>
          <w:tcPr>
            <w:tcW w:w="4400" w:type="dxa"/>
            <w:shd w:val="clear" w:color="auto" w:fill="FFFFFF"/>
            <w:tcMar>
              <w:top w:w="60" w:type="dxa"/>
              <w:left w:w="120" w:type="dxa"/>
              <w:bottom w:w="60" w:type="dxa"/>
              <w:right w:w="120" w:type="dxa"/>
            </w:tcMar>
          </w:tcPr>
          <w:p w14:paraId="4FEB2978" w14:textId="77777777" w:rsidR="00A25013" w:rsidRDefault="00000000">
            <w:pPr>
              <w:spacing w:before="20" w:after="20"/>
            </w:pPr>
            <w:r>
              <w:rPr>
                <w:sz w:val="20"/>
                <w:szCs w:val="20"/>
              </w:rPr>
              <w:t>Bertrand Quentin, RPF</w:t>
            </w:r>
          </w:p>
        </w:tc>
        <w:tc>
          <w:tcPr>
            <w:tcW w:w="5680" w:type="dxa"/>
            <w:shd w:val="clear" w:color="auto" w:fill="FFFFFF"/>
            <w:tcMar>
              <w:top w:w="60" w:type="dxa"/>
              <w:left w:w="120" w:type="dxa"/>
              <w:bottom w:w="60" w:type="dxa"/>
              <w:right w:w="120" w:type="dxa"/>
            </w:tcMar>
          </w:tcPr>
          <w:p w14:paraId="0BA2B9FD" w14:textId="77777777" w:rsidR="00A25013" w:rsidRDefault="00000000">
            <w:pPr>
              <w:spacing w:before="20" w:after="20"/>
              <w:jc w:val="right"/>
            </w:pPr>
            <w:r>
              <w:rPr>
                <w:sz w:val="20"/>
                <w:szCs w:val="20"/>
              </w:rPr>
              <w:t>CEO — forest engineer, serial founder</w:t>
            </w:r>
          </w:p>
        </w:tc>
      </w:tr>
      <w:tr w:rsidR="00A25013" w14:paraId="5ECEFFF9" w14:textId="77777777">
        <w:tblPrEx>
          <w:tblCellMar>
            <w:top w:w="0" w:type="dxa"/>
            <w:bottom w:w="0" w:type="dxa"/>
          </w:tblCellMar>
        </w:tblPrEx>
        <w:tc>
          <w:tcPr>
            <w:tcW w:w="4400" w:type="dxa"/>
            <w:shd w:val="clear" w:color="auto" w:fill="FAF9F5"/>
            <w:tcMar>
              <w:top w:w="60" w:type="dxa"/>
              <w:left w:w="120" w:type="dxa"/>
              <w:bottom w:w="60" w:type="dxa"/>
              <w:right w:w="120" w:type="dxa"/>
            </w:tcMar>
          </w:tcPr>
          <w:p w14:paraId="4A6765AF" w14:textId="77777777" w:rsidR="00A25013" w:rsidRDefault="00000000">
            <w:pPr>
              <w:spacing w:before="20" w:after="20"/>
            </w:pPr>
            <w:r>
              <w:rPr>
                <w:sz w:val="20"/>
                <w:szCs w:val="20"/>
              </w:rPr>
              <w:t xml:space="preserve">Annie Bergevin, </w:t>
            </w:r>
            <w:proofErr w:type="spellStart"/>
            <w:proofErr w:type="gramStart"/>
            <w:r>
              <w:rPr>
                <w:sz w:val="20"/>
                <w:szCs w:val="20"/>
              </w:rPr>
              <w:t>B.Eng</w:t>
            </w:r>
            <w:proofErr w:type="spellEnd"/>
            <w:proofErr w:type="gramEnd"/>
            <w:r>
              <w:rPr>
                <w:sz w:val="20"/>
                <w:szCs w:val="20"/>
              </w:rPr>
              <w:t>, MBA, CFA</w:t>
            </w:r>
          </w:p>
        </w:tc>
        <w:tc>
          <w:tcPr>
            <w:tcW w:w="5680" w:type="dxa"/>
            <w:shd w:val="clear" w:color="auto" w:fill="FAF9F5"/>
            <w:tcMar>
              <w:top w:w="60" w:type="dxa"/>
              <w:left w:w="120" w:type="dxa"/>
              <w:bottom w:w="60" w:type="dxa"/>
              <w:right w:w="120" w:type="dxa"/>
            </w:tcMar>
          </w:tcPr>
          <w:p w14:paraId="7BB4B6A0" w14:textId="77777777" w:rsidR="00A25013" w:rsidRDefault="00000000">
            <w:pPr>
              <w:spacing w:before="20" w:after="20"/>
              <w:jc w:val="right"/>
            </w:pPr>
            <w:r>
              <w:rPr>
                <w:sz w:val="20"/>
                <w:szCs w:val="20"/>
              </w:rPr>
              <w:t>CFO — Columbia MBA, CFA, ex-Credit Suisse</w:t>
            </w:r>
          </w:p>
        </w:tc>
      </w:tr>
      <w:tr w:rsidR="00A25013" w14:paraId="25215720" w14:textId="77777777">
        <w:tblPrEx>
          <w:tblCellMar>
            <w:top w:w="0" w:type="dxa"/>
            <w:bottom w:w="0" w:type="dxa"/>
          </w:tblCellMar>
        </w:tblPrEx>
        <w:tc>
          <w:tcPr>
            <w:tcW w:w="4400" w:type="dxa"/>
            <w:shd w:val="clear" w:color="auto" w:fill="FFFFFF"/>
            <w:tcMar>
              <w:top w:w="60" w:type="dxa"/>
              <w:left w:w="120" w:type="dxa"/>
              <w:bottom w:w="60" w:type="dxa"/>
              <w:right w:w="120" w:type="dxa"/>
            </w:tcMar>
          </w:tcPr>
          <w:p w14:paraId="463EEA5E" w14:textId="77777777" w:rsidR="00A25013" w:rsidRDefault="00000000">
            <w:pPr>
              <w:spacing w:before="20" w:after="20"/>
            </w:pPr>
            <w:r>
              <w:rPr>
                <w:sz w:val="20"/>
                <w:szCs w:val="20"/>
              </w:rPr>
              <w:t>Alain Desrochers</w:t>
            </w:r>
          </w:p>
        </w:tc>
        <w:tc>
          <w:tcPr>
            <w:tcW w:w="5680" w:type="dxa"/>
            <w:shd w:val="clear" w:color="auto" w:fill="FFFFFF"/>
            <w:tcMar>
              <w:top w:w="60" w:type="dxa"/>
              <w:left w:w="120" w:type="dxa"/>
              <w:bottom w:w="60" w:type="dxa"/>
              <w:right w:w="120" w:type="dxa"/>
            </w:tcMar>
          </w:tcPr>
          <w:p w14:paraId="76B1FC1A" w14:textId="77777777" w:rsidR="00A25013" w:rsidRDefault="00000000">
            <w:pPr>
              <w:spacing w:before="20" w:after="20"/>
              <w:jc w:val="right"/>
            </w:pPr>
            <w:r>
              <w:rPr>
                <w:sz w:val="20"/>
                <w:szCs w:val="20"/>
              </w:rPr>
              <w:t>CDO / EVP — 30 yrs operations &amp; development</w:t>
            </w:r>
          </w:p>
        </w:tc>
      </w:tr>
      <w:tr w:rsidR="00A25013" w14:paraId="032FA5F5" w14:textId="77777777">
        <w:tblPrEx>
          <w:tblCellMar>
            <w:top w:w="0" w:type="dxa"/>
            <w:bottom w:w="0" w:type="dxa"/>
          </w:tblCellMar>
        </w:tblPrEx>
        <w:tc>
          <w:tcPr>
            <w:tcW w:w="4400" w:type="dxa"/>
            <w:shd w:val="clear" w:color="auto" w:fill="FAF9F5"/>
            <w:tcMar>
              <w:top w:w="60" w:type="dxa"/>
              <w:left w:w="120" w:type="dxa"/>
              <w:bottom w:w="60" w:type="dxa"/>
              <w:right w:w="120" w:type="dxa"/>
            </w:tcMar>
          </w:tcPr>
          <w:p w14:paraId="0B182CD6" w14:textId="77777777" w:rsidR="00A25013" w:rsidRDefault="00000000">
            <w:pPr>
              <w:spacing w:before="20" w:after="20"/>
            </w:pPr>
            <w:r>
              <w:rPr>
                <w:sz w:val="20"/>
                <w:szCs w:val="20"/>
              </w:rPr>
              <w:t>Jules Léger</w:t>
            </w:r>
          </w:p>
        </w:tc>
        <w:tc>
          <w:tcPr>
            <w:tcW w:w="5680" w:type="dxa"/>
            <w:shd w:val="clear" w:color="auto" w:fill="FAF9F5"/>
            <w:tcMar>
              <w:top w:w="60" w:type="dxa"/>
              <w:left w:w="120" w:type="dxa"/>
              <w:bottom w:w="60" w:type="dxa"/>
              <w:right w:w="120" w:type="dxa"/>
            </w:tcMar>
          </w:tcPr>
          <w:p w14:paraId="397CC8C9" w14:textId="77777777" w:rsidR="00A25013" w:rsidRDefault="00000000">
            <w:pPr>
              <w:spacing w:before="20" w:after="20"/>
              <w:jc w:val="right"/>
            </w:pPr>
            <w:r>
              <w:rPr>
                <w:sz w:val="20"/>
                <w:szCs w:val="20"/>
              </w:rPr>
              <w:t>CTO — platform, technology, CX systems</w:t>
            </w:r>
          </w:p>
        </w:tc>
      </w:tr>
      <w:tr w:rsidR="00A25013" w14:paraId="6160A4B0" w14:textId="77777777">
        <w:tblPrEx>
          <w:tblCellMar>
            <w:top w:w="0" w:type="dxa"/>
            <w:bottom w:w="0" w:type="dxa"/>
          </w:tblCellMar>
        </w:tblPrEx>
        <w:tc>
          <w:tcPr>
            <w:tcW w:w="4400" w:type="dxa"/>
            <w:shd w:val="clear" w:color="auto" w:fill="FFFFFF"/>
            <w:tcMar>
              <w:top w:w="60" w:type="dxa"/>
              <w:left w:w="120" w:type="dxa"/>
              <w:bottom w:w="60" w:type="dxa"/>
              <w:right w:w="120" w:type="dxa"/>
            </w:tcMar>
          </w:tcPr>
          <w:p w14:paraId="55FE60CC" w14:textId="77777777" w:rsidR="00A25013" w:rsidRDefault="00000000">
            <w:pPr>
              <w:spacing w:before="20" w:after="20"/>
            </w:pPr>
            <w:r>
              <w:rPr>
                <w:sz w:val="20"/>
                <w:szCs w:val="20"/>
              </w:rPr>
              <w:t>Nick Badyal</w:t>
            </w:r>
          </w:p>
        </w:tc>
        <w:tc>
          <w:tcPr>
            <w:tcW w:w="5680" w:type="dxa"/>
            <w:shd w:val="clear" w:color="auto" w:fill="FFFFFF"/>
            <w:tcMar>
              <w:top w:w="60" w:type="dxa"/>
              <w:left w:w="120" w:type="dxa"/>
              <w:bottom w:w="60" w:type="dxa"/>
              <w:right w:w="120" w:type="dxa"/>
            </w:tcMar>
          </w:tcPr>
          <w:p w14:paraId="1AD4662E" w14:textId="77777777" w:rsidR="00A25013" w:rsidRDefault="00000000">
            <w:pPr>
              <w:spacing w:before="20" w:after="20"/>
              <w:jc w:val="right"/>
            </w:pPr>
            <w:r>
              <w:rPr>
                <w:sz w:val="20"/>
                <w:szCs w:val="20"/>
              </w:rPr>
              <w:t>VP Sales &amp; Partnerships — revenue, sponsorship, events</w:t>
            </w:r>
          </w:p>
        </w:tc>
      </w:tr>
      <w:tr w:rsidR="00A25013" w14:paraId="367FB67C" w14:textId="77777777">
        <w:tblPrEx>
          <w:tblCellMar>
            <w:top w:w="0" w:type="dxa"/>
            <w:bottom w:w="0" w:type="dxa"/>
          </w:tblCellMar>
        </w:tblPrEx>
        <w:tc>
          <w:tcPr>
            <w:tcW w:w="4400" w:type="dxa"/>
            <w:shd w:val="clear" w:color="auto" w:fill="FAF9F5"/>
            <w:tcMar>
              <w:top w:w="60" w:type="dxa"/>
              <w:left w:w="120" w:type="dxa"/>
              <w:bottom w:w="60" w:type="dxa"/>
              <w:right w:w="120" w:type="dxa"/>
            </w:tcMar>
          </w:tcPr>
          <w:p w14:paraId="539AD3B2" w14:textId="77777777" w:rsidR="00A25013" w:rsidRDefault="00000000">
            <w:pPr>
              <w:spacing w:before="20" w:after="20"/>
            </w:pPr>
            <w:r>
              <w:rPr>
                <w:sz w:val="20"/>
                <w:szCs w:val="20"/>
              </w:rPr>
              <w:t>Brad Blazar</w:t>
            </w:r>
          </w:p>
        </w:tc>
        <w:tc>
          <w:tcPr>
            <w:tcW w:w="5680" w:type="dxa"/>
            <w:shd w:val="clear" w:color="auto" w:fill="FAF9F5"/>
            <w:tcMar>
              <w:top w:w="60" w:type="dxa"/>
              <w:left w:w="120" w:type="dxa"/>
              <w:bottom w:w="60" w:type="dxa"/>
              <w:right w:w="120" w:type="dxa"/>
            </w:tcMar>
          </w:tcPr>
          <w:p w14:paraId="75B832BF" w14:textId="77777777" w:rsidR="00A25013" w:rsidRDefault="00000000">
            <w:pPr>
              <w:spacing w:before="20" w:after="20"/>
              <w:jc w:val="right"/>
            </w:pPr>
            <w:r>
              <w:rPr>
                <w:sz w:val="20"/>
                <w:szCs w:val="20"/>
              </w:rPr>
              <w:t>Corporate Advisor — capital growth &amp; partnerships</w:t>
            </w:r>
          </w:p>
        </w:tc>
      </w:tr>
    </w:tbl>
    <w:p w14:paraId="5C887881" w14:textId="77777777" w:rsidR="00A25013" w:rsidRDefault="00000000">
      <w:pPr>
        <w:spacing w:before="80" w:after="80" w:line="264" w:lineRule="auto"/>
      </w:pPr>
      <w:r>
        <w:rPr>
          <w:color w:val="6B6B6B"/>
          <w:sz w:val="18"/>
          <w:szCs w:val="18"/>
        </w:rPr>
        <w:t xml:space="preserve">Service providers: Bond Conway Law (securities counsel) · </w:t>
      </w:r>
      <w:proofErr w:type="spellStart"/>
      <w:r>
        <w:rPr>
          <w:color w:val="6B6B6B"/>
          <w:sz w:val="18"/>
          <w:szCs w:val="18"/>
        </w:rPr>
        <w:t>Huxham</w:t>
      </w:r>
      <w:proofErr w:type="spellEnd"/>
      <w:r>
        <w:rPr>
          <w:color w:val="6B6B6B"/>
          <w:sz w:val="18"/>
          <w:szCs w:val="18"/>
        </w:rPr>
        <w:t xml:space="preserve"> Golf Design (course architecture) · Schoppe Design Associates (planning) · </w:t>
      </w:r>
      <w:proofErr w:type="spellStart"/>
      <w:r>
        <w:rPr>
          <w:color w:val="6B6B6B"/>
          <w:sz w:val="18"/>
          <w:szCs w:val="18"/>
        </w:rPr>
        <w:t>SportsDome</w:t>
      </w:r>
      <w:proofErr w:type="spellEnd"/>
      <w:r>
        <w:rPr>
          <w:color w:val="6B6B6B"/>
          <w:sz w:val="18"/>
          <w:szCs w:val="18"/>
        </w:rPr>
        <w:t xml:space="preserve"> Advisory (strategy &amp; operating model).</w:t>
      </w:r>
    </w:p>
    <w:p w14:paraId="7A83D54F" w14:textId="77777777" w:rsidR="00A25013" w:rsidRDefault="00000000">
      <w:pPr>
        <w:shd w:val="clear" w:color="auto" w:fill="2E2E2E"/>
        <w:spacing w:before="200" w:after="120"/>
      </w:pPr>
      <w:r>
        <w:rPr>
          <w:b/>
          <w:bCs/>
          <w:caps/>
          <w:color w:val="FFFFFF"/>
          <w:spacing w:val="20"/>
          <w:sz w:val="22"/>
          <w:szCs w:val="22"/>
        </w:rPr>
        <w:t xml:space="preserve">  9 · Contact &amp; Next Step</w:t>
      </w:r>
    </w:p>
    <w:p w14:paraId="2E9B3FD8" w14:textId="77777777" w:rsidR="00A25013" w:rsidRDefault="00000000">
      <w:pPr>
        <w:spacing w:before="40" w:after="100" w:line="264" w:lineRule="auto"/>
      </w:pPr>
      <w:r>
        <w:t>Single point of contact: Nick Badyal, VP Sales &amp; Partnerships. The data room is released in stages. The next step is a 20-minute investor discovery call — link.megalodomegolf.com · invest.megalodomegolf.com/</w:t>
      </w:r>
      <w:proofErr w:type="spellStart"/>
      <w:r>
        <w:t>chicago</w:t>
      </w:r>
      <w:proofErr w:type="spellEnd"/>
      <w:r>
        <w:t>-west. Full model, design documentation, and offering documents follow for qualified accredited investors.</w:t>
      </w:r>
    </w:p>
    <w:p w14:paraId="14ED1CF6" w14:textId="77777777" w:rsidR="00A25013" w:rsidRDefault="00000000">
      <w:pPr>
        <w:pBdr>
          <w:top w:val="single" w:sz="4" w:space="8" w:color="DFCE9D"/>
        </w:pBdr>
        <w:spacing w:before="200" w:after="40" w:line="230" w:lineRule="auto"/>
      </w:pPr>
      <w:r>
        <w:rPr>
          <w:i/>
          <w:iCs/>
          <w:color w:val="6B6B6B"/>
          <w:sz w:val="16"/>
          <w:szCs w:val="16"/>
        </w:rPr>
        <w:t>CONFIDENTIAL — for accredited investors only. Not an offer to sell or solicitation to buy any security. Any offering is made solely through the Confidential Private Placement Memorandum of MEGALODOME GOLF Equity Fund I LLC and its subscription documents under Rule 506(c) of Regulation D. Projections are modeled estimates, not guarantees; actual results will differ. Reflects a proposed restructured capital stack. Equity classes, the equity split, the direct 12.5% outside stake, and the distribution waterfall are illustrative and subject to amended offering documents and securities-counsel review before any investor use.</w:t>
      </w:r>
    </w:p>
    <w:sectPr w:rsidR="00A250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B7AED"/>
    <w:multiLevelType w:val="hybridMultilevel"/>
    <w:tmpl w:val="F5C4E124"/>
    <w:lvl w:ilvl="0" w:tplc="9E3CF81A">
      <w:start w:val="1"/>
      <w:numFmt w:val="bullet"/>
      <w:lvlText w:val="●"/>
      <w:lvlJc w:val="left"/>
      <w:pPr>
        <w:ind w:left="720" w:hanging="360"/>
      </w:pPr>
    </w:lvl>
    <w:lvl w:ilvl="1" w:tplc="A626A7B0">
      <w:start w:val="1"/>
      <w:numFmt w:val="bullet"/>
      <w:lvlText w:val="○"/>
      <w:lvlJc w:val="left"/>
      <w:pPr>
        <w:ind w:left="1440" w:hanging="360"/>
      </w:pPr>
    </w:lvl>
    <w:lvl w:ilvl="2" w:tplc="B8369B90">
      <w:start w:val="1"/>
      <w:numFmt w:val="bullet"/>
      <w:lvlText w:val="■"/>
      <w:lvlJc w:val="left"/>
      <w:pPr>
        <w:ind w:left="2160" w:hanging="360"/>
      </w:pPr>
    </w:lvl>
    <w:lvl w:ilvl="3" w:tplc="79A2D486">
      <w:start w:val="1"/>
      <w:numFmt w:val="bullet"/>
      <w:lvlText w:val="●"/>
      <w:lvlJc w:val="left"/>
      <w:pPr>
        <w:ind w:left="2880" w:hanging="360"/>
      </w:pPr>
    </w:lvl>
    <w:lvl w:ilvl="4" w:tplc="BB1C941C">
      <w:start w:val="1"/>
      <w:numFmt w:val="bullet"/>
      <w:lvlText w:val="○"/>
      <w:lvlJc w:val="left"/>
      <w:pPr>
        <w:ind w:left="3600" w:hanging="360"/>
      </w:pPr>
    </w:lvl>
    <w:lvl w:ilvl="5" w:tplc="635EA6D0">
      <w:start w:val="1"/>
      <w:numFmt w:val="bullet"/>
      <w:lvlText w:val="■"/>
      <w:lvlJc w:val="left"/>
      <w:pPr>
        <w:ind w:left="4320" w:hanging="360"/>
      </w:pPr>
    </w:lvl>
    <w:lvl w:ilvl="6" w:tplc="24F8B872">
      <w:start w:val="1"/>
      <w:numFmt w:val="bullet"/>
      <w:lvlText w:val="●"/>
      <w:lvlJc w:val="left"/>
      <w:pPr>
        <w:ind w:left="5040" w:hanging="360"/>
      </w:pPr>
    </w:lvl>
    <w:lvl w:ilvl="7" w:tplc="673E1560">
      <w:start w:val="1"/>
      <w:numFmt w:val="bullet"/>
      <w:lvlText w:val="●"/>
      <w:lvlJc w:val="left"/>
      <w:pPr>
        <w:ind w:left="5760" w:hanging="360"/>
      </w:pPr>
    </w:lvl>
    <w:lvl w:ilvl="8" w:tplc="584CC850">
      <w:start w:val="1"/>
      <w:numFmt w:val="bullet"/>
      <w:lvlText w:val="●"/>
      <w:lvlJc w:val="left"/>
      <w:pPr>
        <w:ind w:left="6480" w:hanging="360"/>
      </w:pPr>
    </w:lvl>
  </w:abstractNum>
  <w:num w:numId="1" w16cid:durableId="2100250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013"/>
    <w:rsid w:val="00140599"/>
    <w:rsid w:val="008B7850"/>
    <w:rsid w:val="00A250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E550"/>
  <w15:docId w15:val="{7CB03511-4C7D-4D5E-8AED-30E0D117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CB5E477540964E8F626A688AAD728E" ma:contentTypeVersion="14" ma:contentTypeDescription="Create a new document." ma:contentTypeScope="" ma:versionID="6c1c305a94a89f2041ba7b69dcb70855">
  <xsd:schema xmlns:xsd="http://www.w3.org/2001/XMLSchema" xmlns:xs="http://www.w3.org/2001/XMLSchema" xmlns:p="http://schemas.microsoft.com/office/2006/metadata/properties" xmlns:ns2="234de5ca-b4f8-4058-b9f6-459763652aff" xmlns:ns3="835f4433-dd77-4c52-bb0b-bde5e23e02d4" targetNamespace="http://schemas.microsoft.com/office/2006/metadata/properties" ma:root="true" ma:fieldsID="17427eedb5981284c077e88e6af5560e" ns2:_="" ns3:_="">
    <xsd:import namespace="234de5ca-b4f8-4058-b9f6-459763652aff"/>
    <xsd:import namespace="835f4433-dd77-4c52-bb0b-bde5e23e0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de5ca-b4f8-4058-b9f6-459763652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e1480b-bd3f-4ba3-909e-28113204a6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5f4433-dd77-4c52-bb0b-bde5e23e02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7d96b5-36a5-4f4d-ab1c-87f745630bd6}" ma:internalName="TaxCatchAll" ma:showField="CatchAllData" ma:web="835f4433-dd77-4c52-bb0b-bde5e23e0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5f4433-dd77-4c52-bb0b-bde5e23e02d4" xsi:nil="true"/>
    <lcf76f155ced4ddcb4097134ff3c332f xmlns="234de5ca-b4f8-4058-b9f6-459763652a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79E4D2-10AA-4D6F-973A-A03D165A2F17}"/>
</file>

<file path=customXml/itemProps2.xml><?xml version="1.0" encoding="utf-8"?>
<ds:datastoreItem xmlns:ds="http://schemas.openxmlformats.org/officeDocument/2006/customXml" ds:itemID="{A9F0F4B8-39FD-4FCF-AE93-EA9807EE6D24}"/>
</file>

<file path=customXml/itemProps3.xml><?xml version="1.0" encoding="utf-8"?>
<ds:datastoreItem xmlns:ds="http://schemas.openxmlformats.org/officeDocument/2006/customXml" ds:itemID="{A237EA4C-77A0-490B-A2C1-A32F621DE88D}"/>
</file>

<file path=docProps/app.xml><?xml version="1.0" encoding="utf-8"?>
<Properties xmlns="http://schemas.openxmlformats.org/officeDocument/2006/extended-properties" xmlns:vt="http://schemas.openxmlformats.org/officeDocument/2006/docPropsVTypes">
  <Template>Normal</Template>
  <TotalTime>1</TotalTime>
  <Pages>3</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Sports Dome</cp:lastModifiedBy>
  <cp:revision>2</cp:revision>
  <dcterms:created xsi:type="dcterms:W3CDTF">2026-06-30T13:11:00Z</dcterms:created>
  <dcterms:modified xsi:type="dcterms:W3CDTF">2026-07-16T22:19:00Z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0x010100F1CB5E477540964E8F626A688AAD728E</vt:lpwstr>
  </property>
</Properties>
</file>