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aps w:val="false"/>
          <w:color w:val="2E2E2E"/>
          <w:spacing w:val="22"/>
          <w:sz w:val="34"/>
          <w:szCs w:val="34"/>
        </w:rPr>
        <w:t xml:space="preserve">MEGALODOME GOLF</w:t>
      </w:r>
    </w:p>
    <w:p>
      <w:pPr>
        <w:spacing w:after="5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DFCE9D"/>
          <w:spacing w:val="18"/>
          <w:sz w:val="14"/>
          <w:szCs w:val="14"/>
        </w:rPr>
        <w:t xml:space="preserve">INVESTOR ROADMAP — THE PROJECT, YOUR CAPITAL, AND HOW WE MANAGE THE FUND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B6B"/>
          <w:sz w:val="16"/>
          <w:szCs w:val="16"/>
        </w:rPr>
        <w:t xml:space="preserve">Chicago West flagship · MEGALODOME GOLF Equity Fund I · a five-year path from capital to exit. Figures are modeled; see disclosures.</w:t>
      </w:r>
    </w:p>
    <w:p>
      <w:pPr>
        <w:shd w:fill="2E2E2E" w:val="clear"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pacing w:val="12"/>
          <w:sz w:val="17"/>
          <w:szCs w:val="17"/>
        </w:rPr>
        <w:t xml:space="preserve">  The Five-Year Path</w:t>
      </w:r>
    </w:p>
    <w:tbl>
      <w:tblPr>
        <w:tblW w:type="dxa" w:w="10512"/>
        <w:tblBorders>
          <w:top w:val="single" w:color="E2DCCE" w:sz="1"/>
          <w:left w:val="single" w:color="E2DCCE" w:sz="1"/>
          <w:bottom w:val="single" w:color="E2DCCE" w:sz="1"/>
          <w:right w:val="single" w:color="E2DCCE" w:sz="1"/>
          <w:insideH w:val="single" w:color="E2DCCE" w:sz="1"/>
          <w:insideV w:val="single" w:color="E2DCCE" w:sz="1"/>
        </w:tblBorders>
      </w:tblPr>
      <w:tblGrid>
        <w:gridCol w:w="2350"/>
        <w:gridCol w:w="3850"/>
        <w:gridCol w:w="3950"/>
      </w:tblGrid>
      <w:tr>
        <w:tc>
          <w:tcPr>
            <w:tcW w:type="dxa" w:w="2350"/>
            <w:shd w:fill="1F2A44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3850"/>
            <w:shd w:fill="1F2A44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The Project</w:t>
            </w:r>
          </w:p>
        </w:tc>
        <w:tc>
          <w:tcPr>
            <w:tcW w:type="dxa" w:w="3950"/>
            <w:shd w:fill="1F2A44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Your Capital</w:t>
            </w:r>
          </w:p>
        </w:tc>
      </w:tr>
      <w:tr>
        <w:tc>
          <w:tcPr>
            <w:tcW w:type="dxa" w:w="2350"/>
            <w:shd w:fill="FAF9F5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A44"/>
                <w:sz w:val="16"/>
                <w:szCs w:val="16"/>
              </w:rPr>
              <w:t xml:space="preserve">1 · Close &amp; Capitalize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2026</w:t>
            </w:r>
          </w:p>
        </w:tc>
        <w:tc>
          <w:tcPr>
            <w:tcW w:type="dxa" w:w="3850"/>
            <w:shd w:fill="FAF9F5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Financing closes; $77.0M committed; interest reserve and contingency funded.</w:t>
            </w:r>
          </w:p>
        </w:tc>
        <w:tc>
          <w:tcPr>
            <w:tcW w:type="dxa" w:w="3950"/>
            <w:shd w:fill="FAF9F5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$25M equity subscribed and called. The 10% preferred-return clock starts.</w:t>
            </w:r>
          </w:p>
        </w:tc>
      </w:tr>
      <w:tr>
        <w:tc>
          <w:tcPr>
            <w:tcW w:type="dxa" w:w="2350"/>
            <w:shd w:fill="FFFFFF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A44"/>
                <w:sz w:val="16"/>
                <w:szCs w:val="16"/>
              </w:rPr>
              <w:t xml:space="preserve">2 · Build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2026–2027</w:t>
            </w:r>
          </w:p>
        </w:tc>
        <w:tc>
          <w:tcPr>
            <w:tcW w:type="dxa" w:w="3850"/>
            <w:shd w:fill="FFFFFF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Four climate-controlled domes, the par-30 course and clubhouse are constructed; debt drawn.</w:t>
            </w:r>
          </w:p>
        </w:tc>
        <w:tc>
          <w:tcPr>
            <w:tcW w:type="dxa" w:w="3950"/>
            <w:shd w:fill="FFFFFF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Preferred return accrues during construction; the funded reserve covers ramp-year debt service.</w:t>
            </w:r>
          </w:p>
        </w:tc>
      </w:tr>
      <w:tr>
        <w:tc>
          <w:tcPr>
            <w:tcW w:type="dxa" w:w="2350"/>
            <w:shd w:fill="FAF9F5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A44"/>
                <w:sz w:val="16"/>
                <w:szCs w:val="16"/>
              </w:rPr>
              <w:t xml:space="preserve">3 · Open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Fall 2027</w:t>
            </w:r>
          </w:p>
        </w:tc>
        <w:tc>
          <w:tcPr>
            <w:tcW w:type="dxa" w:w="3850"/>
            <w:shd w:fill="FAF9F5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Doors open — real indoor golf, 6 AM – 1 AM, 365 days a year.</w:t>
            </w:r>
          </w:p>
        </w:tc>
        <w:tc>
          <w:tcPr>
            <w:tcW w:type="dxa" w:w="3950"/>
            <w:shd w:fill="FAF9F5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Revenue begins; Year-1 is a partial ramp year (~38% realization).</w:t>
            </w:r>
          </w:p>
        </w:tc>
      </w:tr>
      <w:tr>
        <w:tc>
          <w:tcPr>
            <w:tcW w:type="dxa" w:w="2350"/>
            <w:shd w:fill="FFFFFF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A44"/>
                <w:sz w:val="16"/>
                <w:szCs w:val="16"/>
              </w:rPr>
              <w:t xml:space="preserve">4 · Ramp &amp; Stabilize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2028–2030</w:t>
            </w:r>
          </w:p>
        </w:tc>
        <w:tc>
          <w:tcPr>
            <w:tcW w:type="dxa" w:w="3850"/>
            <w:shd w:fill="FFFFFF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Occupancy ramps across nine revenue streams to ~62% EBITDA margin by Year 3.</w:t>
            </w:r>
          </w:p>
        </w:tc>
        <w:tc>
          <w:tcPr>
            <w:tcW w:type="dxa" w:w="3950"/>
            <w:shd w:fill="FFFFFF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10% cash preferred distributions begin (~$2M/yr to the pool); quarterly investor reporting.</w:t>
            </w:r>
          </w:p>
        </w:tc>
      </w:tr>
      <w:tr>
        <w:tc>
          <w:tcPr>
            <w:tcW w:type="dxa" w:w="2350"/>
            <w:shd w:fill="FAF9F5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A44"/>
                <w:sz w:val="16"/>
                <w:szCs w:val="16"/>
              </w:rPr>
              <w:t xml:space="preserve">5 · Return Capital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2031</w:t>
            </w:r>
          </w:p>
        </w:tc>
        <w:tc>
          <w:tcPr>
            <w:tcW w:type="dxa" w:w="3850"/>
            <w:shd w:fill="FAF9F5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Stabilized ~$15.0M EBITDA; refinance or sale at 9.0x, net of debt.</w:t>
            </w:r>
          </w:p>
        </w:tc>
        <w:tc>
          <w:tcPr>
            <w:tcW w:type="dxa" w:w="3950"/>
            <w:shd w:fill="FAF9F5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Exit equity distributed by class. Target blended 19.7% IRR / 2.35x over the 5-yr hold.</w:t>
            </w:r>
          </w:p>
        </w:tc>
      </w:tr>
    </w:tbl>
    <w:p>
      <w:pPr>
        <w:shd w:fill="2E2E2E" w:val="clear"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pacing w:val="12"/>
          <w:sz w:val="17"/>
          <w:szCs w:val="17"/>
        </w:rPr>
        <w:t xml:space="preserve">  Your Capital at Work</w:t>
      </w:r>
    </w:p>
    <w:tbl>
      <w:tblPr>
        <w:tblW w:type="dxa" w:w="10512"/>
        <w:tblBorders>
          <w:top w:val="single" w:color="E2DCCE" w:sz="1"/>
          <w:left w:val="single" w:color="E2DCCE" w:sz="1"/>
          <w:bottom w:val="single" w:color="E2DCCE" w:sz="1"/>
          <w:right w:val="single" w:color="E2DCCE" w:sz="1"/>
          <w:insideH w:val="single" w:color="E2DCCE" w:sz="1"/>
          <w:insideV w:val="single" w:color="E2DCCE" w:sz="1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2E2E2E" w:val="clear"/>
            <w:tcMar>
              <w:top w:type="dxa" w:w="80"/>
              <w:left w:type="dxa" w:w="50"/>
              <w:bottom w:type="dxa" w:w="80"/>
              <w:right w:type="dxa" w:w="50"/>
            </w:tcMar>
          </w:tcPr>
          <w:p>
            <w:pPr>
              <w:spacing w:after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EDCA7"/>
                <w:sz w:val="26"/>
                <w:szCs w:val="26"/>
              </w:rPr>
              <w:t xml:space="preserve">$25M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pacing w:val="4"/>
                <w:sz w:val="12"/>
                <w:szCs w:val="12"/>
              </w:rPr>
              <w:t xml:space="preserve">Equity In (3 tranches)</w:t>
            </w:r>
          </w:p>
        </w:tc>
        <w:tc>
          <w:tcPr>
            <w:tcW w:type="dxa" w:w="2102"/>
            <w:shd w:fill="1F2A44" w:val="clear"/>
            <w:tcMar>
              <w:top w:type="dxa" w:w="80"/>
              <w:left w:type="dxa" w:w="50"/>
              <w:bottom w:type="dxa" w:w="80"/>
              <w:right w:type="dxa" w:w="50"/>
            </w:tcMar>
          </w:tcPr>
          <w:p>
            <w:pPr>
              <w:spacing w:after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EDCA7"/>
                <w:sz w:val="26"/>
                <w:szCs w:val="26"/>
              </w:rPr>
              <w:t xml:space="preserve">10%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pacing w:val="4"/>
                <w:sz w:val="12"/>
                <w:szCs w:val="12"/>
              </w:rPr>
              <w:t xml:space="preserve">Preferred Return (pool)</w:t>
            </w:r>
          </w:p>
        </w:tc>
        <w:tc>
          <w:tcPr>
            <w:tcW w:type="dxa" w:w="2102"/>
            <w:shd w:fill="2E2E2E" w:val="clear"/>
            <w:tcMar>
              <w:top w:type="dxa" w:w="80"/>
              <w:left w:type="dxa" w:w="50"/>
              <w:bottom w:type="dxa" w:w="80"/>
              <w:right w:type="dxa" w:w="50"/>
            </w:tcMar>
          </w:tcPr>
          <w:p>
            <w:pPr>
              <w:spacing w:after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EDCA7"/>
                <w:sz w:val="26"/>
                <w:szCs w:val="26"/>
              </w:rPr>
              <w:t xml:space="preserve">52.5%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pacing w:val="4"/>
                <w:sz w:val="12"/>
                <w:szCs w:val="12"/>
              </w:rPr>
              <w:t xml:space="preserve">Manager (MEG USA)</w:t>
            </w:r>
          </w:p>
        </w:tc>
        <w:tc>
          <w:tcPr>
            <w:tcW w:type="dxa" w:w="2102"/>
            <w:shd w:fill="1F2A44" w:val="clear"/>
            <w:tcMar>
              <w:top w:type="dxa" w:w="80"/>
              <w:left w:type="dxa" w:w="50"/>
              <w:bottom w:type="dxa" w:w="80"/>
              <w:right w:type="dxa" w:w="50"/>
            </w:tcMar>
          </w:tcPr>
          <w:p>
            <w:pPr>
              <w:spacing w:after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EDCA7"/>
                <w:sz w:val="26"/>
                <w:szCs w:val="26"/>
              </w:rPr>
              <w:t xml:space="preserve">$102.8M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pacing w:val="4"/>
                <w:sz w:val="12"/>
                <w:szCs w:val="12"/>
              </w:rPr>
              <w:t xml:space="preserve">Equity Value at Exit</w:t>
            </w:r>
          </w:p>
        </w:tc>
        <w:tc>
          <w:tcPr>
            <w:tcW w:type="dxa" w:w="2102"/>
            <w:shd w:fill="2E2E2E" w:val="clear"/>
            <w:tcMar>
              <w:top w:type="dxa" w:w="80"/>
              <w:left w:type="dxa" w:w="50"/>
              <w:bottom w:type="dxa" w:w="80"/>
              <w:right w:type="dxa" w:w="50"/>
            </w:tcMar>
          </w:tcPr>
          <w:p>
            <w:pPr>
              <w:spacing w:after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EDCA7"/>
                <w:sz w:val="26"/>
                <w:szCs w:val="26"/>
              </w:rPr>
              <w:t xml:space="preserve">2.35x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pacing w:val="4"/>
                <w:sz w:val="12"/>
                <w:szCs w:val="12"/>
              </w:rPr>
              <w:t xml:space="preserve">Blended MOIC</w:t>
            </w:r>
          </w:p>
        </w:tc>
      </w:tr>
    </w:tbl>
    <w:p>
      <w:pPr>
        <w:spacing w:after="60"/>
      </w:pPr>
    </w:p>
    <w:tbl>
      <w:tblPr>
        <w:tblW w:type="dxa" w:w="10512"/>
        <w:tblBorders>
          <w:top w:val="single" w:color="E2DCCE" w:sz="1"/>
          <w:left w:val="single" w:color="E2DCCE" w:sz="1"/>
          <w:bottom w:val="single" w:color="E2DCCE" w:sz="1"/>
          <w:right w:val="single" w:color="E2DCCE" w:sz="1"/>
          <w:insideH w:val="single" w:color="E2DCCE" w:sz="1"/>
          <w:insideV w:val="single" w:color="E2DCCE" w:sz="1"/>
        </w:tblBorders>
      </w:tblPr>
      <w:tblGrid>
        <w:gridCol w:w="3050"/>
        <w:gridCol w:w="1500"/>
        <w:gridCol w:w="3050"/>
        <w:gridCol w:w="1550"/>
      </w:tblGrid>
      <w:tr>
        <w:tc>
          <w:tcPr>
            <w:tcW w:type="dxa" w:w="3050"/>
            <w:shd w:fill="1F2A44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Exit equity by class</w:t>
            </w:r>
          </w:p>
        </w:tc>
        <w:tc>
          <w:tcPr>
            <w:tcW w:type="dxa" w:w="1500"/>
            <w:shd w:fill="1F2A44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Share</w:t>
            </w:r>
          </w:p>
        </w:tc>
        <w:tc>
          <w:tcPr>
            <w:tcW w:type="dxa" w:w="3050"/>
            <w:shd w:fill="1F2A44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1550"/>
            <w:shd w:fill="1F2A44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3050"/>
            <w:shd w:fill="FAF9F5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Fund — Class B ($10M)</w:t>
            </w:r>
          </w:p>
        </w:tc>
        <w:tc>
          <w:tcPr>
            <w:tcW w:type="dxa" w:w="1500"/>
            <w:shd w:fill="FAF9F5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25%</w:t>
            </w:r>
          </w:p>
        </w:tc>
        <w:tc>
          <w:tcPr>
            <w:tcW w:type="dxa" w:w="3050"/>
            <w:shd w:fill="FAF9F5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Outside — direct ($5M)</w:t>
            </w:r>
          </w:p>
        </w:tc>
        <w:tc>
          <w:tcPr>
            <w:tcW w:type="dxa" w:w="1550"/>
            <w:shd w:fill="FAF9F5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$12.9M</w:t>
            </w:r>
          </w:p>
        </w:tc>
      </w:tr>
      <w:tr>
        <w:tc>
          <w:tcPr>
            <w:tcW w:type="dxa" w:w="3050"/>
            <w:shd w:fill="FFFFFF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Membership ($10M)</w:t>
            </w:r>
          </w:p>
        </w:tc>
        <w:tc>
          <w:tcPr>
            <w:tcW w:type="dxa" w:w="1500"/>
            <w:shd w:fill="FFFFFF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10%</w:t>
            </w:r>
          </w:p>
        </w:tc>
        <w:tc>
          <w:tcPr>
            <w:tcW w:type="dxa" w:w="3050"/>
            <w:shd w:fill="FFFFFF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MEGALODOME GOLF USA INC.</w:t>
            </w:r>
          </w:p>
        </w:tc>
        <w:tc>
          <w:tcPr>
            <w:tcW w:type="dxa" w:w="1550"/>
            <w:shd w:fill="FFFFFF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$54.0M</w:t>
            </w:r>
          </w:p>
        </w:tc>
      </w:tr>
      <w:tr>
        <w:tc>
          <w:tcPr>
            <w:tcW w:type="dxa" w:w="3050"/>
            <w:gridSpan w:val="2"/>
            <w:shd w:fill="FAF9F5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Fund ≈ $25.7M · Membership ≈ $10.3M at exit</w:t>
            </w:r>
          </w:p>
        </w:tc>
        <w:tc>
          <w:tcPr>
            <w:tcW w:type="dxa" w:w="3050"/>
            <w:gridSpan w:val="2"/>
            <w:shd w:fill="FAF9F5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Fund: 26.7% / 3.07x · Memb: 9.7% / 1.53x · Outside: 20.8% / 2.57x</w:t>
            </w:r>
          </w:p>
        </w:tc>
      </w:tr>
    </w:tbl>
    <w:p>
      <w:pPr>
        <w:shd w:fill="2E2E2E" w:val="clear"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pacing w:val="12"/>
          <w:sz w:val="17"/>
          <w:szCs w:val="17"/>
        </w:rPr>
        <w:t xml:space="preserve">  How We Manage the Fund</w:t>
      </w:r>
    </w:p>
    <w:tbl>
      <w:tblPr>
        <w:tblW w:type="dxa" w:w="10512"/>
        <w:tblBorders>
          <w:top w:val="single" w:color="E2DCCE" w:sz="1"/>
          <w:left w:val="single" w:color="E2DCCE" w:sz="1"/>
          <w:bottom w:val="single" w:color="E2DCCE" w:sz="1"/>
          <w:right w:val="single" w:color="E2DCCE" w:sz="1"/>
          <w:insideH w:val="single" w:color="E2DCCE" w:sz="1"/>
          <w:insideV w:val="single" w:color="E2DCCE" w:sz="1"/>
        </w:tblBorders>
      </w:tblPr>
      <w:tblGrid>
        <w:gridCol w:w="5256"/>
        <w:gridCol w:w="5256"/>
      </w:tblGrid>
      <w:tr>
        <w:tc>
          <w:tcPr>
            <w:tcW w:type="dxa" w:w="5256"/>
            <w:shd w:fill="FFFFFF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A44"/>
                <w:sz w:val="16"/>
                <w:szCs w:val="16"/>
              </w:rPr>
              <w:t xml:space="preserve">Manager (MEGALODOME GOLF USA INC.):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Operates the fund and asset; earns its profit share only after your 10% preferred return is paid.</w:t>
            </w:r>
          </w:p>
          <w:p>
            <w:pPr>
              <w:spacing w:after="0" w:before="70" w:line="24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A44"/>
                <w:sz w:val="16"/>
                <w:szCs w:val="16"/>
              </w:rPr>
              <w:t xml:space="preserve">Reporting: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Quarterly investor updates plus live ownership visibility through the investor portal.</w:t>
            </w:r>
          </w:p>
          <w:p>
            <w:pPr>
              <w:spacing w:after="0" w:before="70" w:line="24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A44"/>
                <w:sz w:val="16"/>
                <w:szCs w:val="16"/>
              </w:rPr>
              <w:t xml:space="preserve">Oversight: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CFO Annie Bergevin (CFA) owns the numbers; Bond Conway is securities counsel; independent fund administration at first close.</w:t>
            </w:r>
          </w:p>
        </w:tc>
        <w:tc>
          <w:tcPr>
            <w:tcW w:type="dxa" w:w="5256"/>
            <w:shd w:fill="FFFFFF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top"/>
          </w:tcPr>
          <w:p>
            <w:pPr>
              <w:spacing w:after="0" w:before="0" w:line="24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A44"/>
                <w:sz w:val="16"/>
                <w:szCs w:val="16"/>
              </w:rPr>
              <w:t xml:space="preserve">Your protections: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10% preferred floor, a 12-month interest reserve, 10% construction contingency, and a real-estate-backed asset — tangible collateral, not a promise.</w:t>
            </w:r>
          </w:p>
          <w:p>
            <w:pPr>
              <w:spacing w:after="0" w:before="70" w:line="24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A44"/>
                <w:sz w:val="16"/>
                <w:szCs w:val="16"/>
              </w:rPr>
              <w:t xml:space="preserve">One point of contact: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Nick Badyal, VP Sales &amp; Partnerships — your single line into the team end-to-end.</w:t>
            </w:r>
          </w:p>
          <w:p>
            <w:pPr>
              <w:spacing w:after="0" w:before="70" w:line="24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A44"/>
                <w:sz w:val="16"/>
                <w:szCs w:val="16"/>
              </w:rPr>
              <w:t xml:space="preserve">Platform: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6"/>
                <w:szCs w:val="16"/>
              </w:rPr>
              <w:t xml:space="preserve">Capitalyst Pro (funnel) → secure data room &amp; investor portal → one cap-table system of record.</w:t>
            </w:r>
          </w:p>
        </w:tc>
      </w:tr>
    </w:tbl>
    <w:p>
      <w:pPr>
        <w:shd w:fill="2E2E2E" w:val="clear"/>
        <w:spacing w:after="70" w:before="13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FFFF"/>
          <w:spacing w:val="12"/>
          <w:sz w:val="17"/>
          <w:szCs w:val="17"/>
        </w:rPr>
        <w:t xml:space="preserve">  Your Journey With Us</w:t>
      </w:r>
    </w:p>
    <w:tbl>
      <w:tblPr>
        <w:tblW w:type="dxa" w:w="10512"/>
        <w:tblBorders>
          <w:top w:val="single" w:color="E2DCCE" w:sz="1"/>
          <w:left w:val="single" w:color="E2DCCE" w:sz="1"/>
          <w:bottom w:val="single" w:color="E2DCCE" w:sz="1"/>
          <w:right w:val="single" w:color="E2DCCE" w:sz="1"/>
          <w:insideH w:val="single" w:color="E2DCCE" w:sz="1"/>
          <w:insideV w:val="single" w:color="E2DCCE" w:sz="1"/>
        </w:tblBorders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DFCE9D"/>
                <w:sz w:val="22"/>
                <w:szCs w:val="2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3"/>
                <w:szCs w:val="13"/>
              </w:rPr>
              <w:t xml:space="preserve">Discovery call</w:t>
            </w:r>
          </w:p>
        </w:tc>
        <w:tc>
          <w:tcPr>
            <w:tcW w:type="dxa" w:w="1314"/>
            <w:shd w:fill="FAF9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DFCE9D"/>
                <w:sz w:val="22"/>
                <w:szCs w:val="2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3"/>
                <w:szCs w:val="13"/>
              </w:rPr>
              <w:t xml:space="preserve">NDA + data room</w:t>
            </w:r>
          </w:p>
        </w:tc>
        <w:tc>
          <w:tcPr>
            <w:tcW w:type="dxa" w:w="1314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DFCE9D"/>
                <w:sz w:val="22"/>
                <w:szCs w:val="2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3"/>
                <w:szCs w:val="13"/>
              </w:rPr>
              <w:t xml:space="preserve">Diligence</w:t>
            </w:r>
          </w:p>
        </w:tc>
        <w:tc>
          <w:tcPr>
            <w:tcW w:type="dxa" w:w="1314"/>
            <w:shd w:fill="FAF9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DFCE9D"/>
                <w:sz w:val="22"/>
                <w:szCs w:val="2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3"/>
                <w:szCs w:val="13"/>
              </w:rPr>
              <w:t xml:space="preserve">Accreditation</w:t>
            </w:r>
          </w:p>
        </w:tc>
        <w:tc>
          <w:tcPr>
            <w:tcW w:type="dxa" w:w="1314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DFCE9D"/>
                <w:sz w:val="22"/>
                <w:szCs w:val="2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3"/>
                <w:szCs w:val="13"/>
              </w:rPr>
              <w:t xml:space="preserve">Subscribe</w:t>
            </w:r>
          </w:p>
        </w:tc>
        <w:tc>
          <w:tcPr>
            <w:tcW w:type="dxa" w:w="1314"/>
            <w:shd w:fill="FAF9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DFCE9D"/>
                <w:sz w:val="22"/>
                <w:szCs w:val="2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3"/>
                <w:szCs w:val="13"/>
              </w:rPr>
              <w:t xml:space="preserve">Quarterly reporting</w:t>
            </w:r>
          </w:p>
        </w:tc>
        <w:tc>
          <w:tcPr>
            <w:tcW w:type="dxa" w:w="1314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DFCE9D"/>
                <w:sz w:val="22"/>
                <w:szCs w:val="2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3"/>
                <w:szCs w:val="13"/>
              </w:rPr>
              <w:t xml:space="preserve">Distributions</w:t>
            </w:r>
          </w:p>
        </w:tc>
        <w:tc>
          <w:tcPr>
            <w:tcW w:type="dxa" w:w="1314"/>
            <w:shd w:fill="FAF9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DFCE9D"/>
                <w:sz w:val="22"/>
                <w:szCs w:val="2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3"/>
                <w:szCs w:val="13"/>
              </w:rPr>
              <w:t xml:space="preserve">Exit</w:t>
            </w:r>
          </w:p>
        </w:tc>
      </w:tr>
    </w:tbl>
    <w:p>
      <w:pPr>
        <w:pBdr>
          <w:top w:val="single" w:color="DFCE9D" w:sz="4" w:space="8"/>
        </w:pBdr>
        <w:spacing w:after="30" w:before="150" w:line="214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B6B"/>
          <w:sz w:val="13"/>
          <w:szCs w:val="13"/>
        </w:rPr>
        <w:t xml:space="preserve">CONFIDENTIAL — for accredited investors only. Reflects a proposed restructured capital stack; equity classes and the distribution waterfall are illustrative and subject to amended offering documents and securities-counsel review. Not an offer to sell or solicitation to buy any security; any offering is made solely through the Confidential Private Placement Memorandum of MEGALODOME GOLF Equity Fund I LLC and its subscription documents under Rule 506(c) of Regulation D. Projections are modeled estimates, not guarantees; actual results will differ.</w:t>
      </w:r>
    </w:p>
    <w:sectPr>
      <w:pgSz w:w="12240" w:h="15840" w:orient="portrait"/>
      <w:pgMar w:top="864" w:right="864" w:bottom="648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CB5E477540964E8F626A688AAD728E" ma:contentTypeVersion="14" ma:contentTypeDescription="Create a new document." ma:contentTypeScope="" ma:versionID="6c1c305a94a89f2041ba7b69dcb70855">
  <xsd:schema xmlns:xsd="http://www.w3.org/2001/XMLSchema" xmlns:xs="http://www.w3.org/2001/XMLSchema" xmlns:p="http://schemas.microsoft.com/office/2006/metadata/properties" xmlns:ns2="234de5ca-b4f8-4058-b9f6-459763652aff" xmlns:ns3="835f4433-dd77-4c52-bb0b-bde5e23e02d4" targetNamespace="http://schemas.microsoft.com/office/2006/metadata/properties" ma:root="true" ma:fieldsID="17427eedb5981284c077e88e6af5560e" ns2:_="" ns3:_="">
    <xsd:import namespace="234de5ca-b4f8-4058-b9f6-459763652aff"/>
    <xsd:import namespace="835f4433-dd77-4c52-bb0b-bde5e23e0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de5ca-b4f8-4058-b9f6-459763652a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e1480b-bd3f-4ba3-909e-28113204a6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f4433-dd77-4c52-bb0b-bde5e23e02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27d96b5-36a5-4f4d-ab1c-87f745630bd6}" ma:internalName="TaxCatchAll" ma:showField="CatchAllData" ma:web="835f4433-dd77-4c52-bb0b-bde5e23e02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f4433-dd77-4c52-bb0b-bde5e23e02d4" xsi:nil="true"/>
    <lcf76f155ced4ddcb4097134ff3c332f xmlns="234de5ca-b4f8-4058-b9f6-459763652af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7A759D-57FE-4912-9804-FB0C83AC0E04}"/>
</file>

<file path=customXml/itemProps2.xml><?xml version="1.0" encoding="utf-8"?>
<ds:datastoreItem xmlns:ds="http://schemas.openxmlformats.org/officeDocument/2006/customXml" ds:itemID="{A1BD0077-F093-4192-9DA7-E9D2DBA15A2A}"/>
</file>

<file path=customXml/itemProps3.xml><?xml version="1.0" encoding="utf-8"?>
<ds:datastoreItem xmlns:ds="http://schemas.openxmlformats.org/officeDocument/2006/customXml" ds:itemID="{0E1B86F2-3459-4100-83E5-5834FD31A2A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2026-06-30T14:46:57Z</dcterms:created>
  <dcterms:modified xsi:type="dcterms:W3CDTF">2026-06-30T14:46:57Z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0x010100F1CB5E477540964E8F626A688AAD728E</vt:lpwstr>
  </property>
</Properties>
</file>