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40894" w14:textId="77777777" w:rsidR="00882FA1" w:rsidRDefault="00000000">
      <w:pPr>
        <w:spacing w:after="40"/>
      </w:pPr>
      <w:r>
        <w:rPr>
          <w:rFonts w:ascii="Georgia" w:eastAsia="Georgia" w:hAnsi="Georgia" w:cs="Georgia"/>
          <w:b/>
          <w:bCs/>
          <w:color w:val="0D2137"/>
          <w:sz w:val="44"/>
          <w:szCs w:val="44"/>
        </w:rPr>
        <w:t>PERSON HEALTH</w:t>
      </w:r>
    </w:p>
    <w:p w14:paraId="60C9EA5C" w14:textId="77777777" w:rsidR="00882FA1" w:rsidRDefault="00000000">
      <w:pPr>
        <w:spacing w:after="20"/>
      </w:pPr>
      <w:r>
        <w:rPr>
          <w:rFonts w:ascii="Georgia" w:eastAsia="Georgia" w:hAnsi="Georgia" w:cs="Georgia"/>
          <w:i/>
          <w:iCs/>
          <w:color w:val="0A7E8C"/>
          <w:sz w:val="24"/>
          <w:szCs w:val="24"/>
        </w:rPr>
        <w:t>From Reactive Healthcare to Human-Centered Intelligence</w:t>
      </w:r>
    </w:p>
    <w:p w14:paraId="3D30A809" w14:textId="77777777" w:rsidR="00882FA1" w:rsidRDefault="00000000">
      <w:pPr>
        <w:pBdr>
          <w:bottom w:val="single" w:sz="6" w:space="1" w:color="0A7E8C"/>
        </w:pBdr>
        <w:spacing w:after="100"/>
      </w:pPr>
      <w:proofErr w:type="gramStart"/>
      <w:r>
        <w:rPr>
          <w:color w:val="4A5568"/>
        </w:rPr>
        <w:t>Breath  •</w:t>
      </w:r>
      <w:proofErr w:type="gramEnd"/>
      <w:r>
        <w:rPr>
          <w:color w:val="4A5568"/>
        </w:rPr>
        <w:t xml:space="preserve">  </w:t>
      </w:r>
      <w:proofErr w:type="gramStart"/>
      <w:r>
        <w:rPr>
          <w:color w:val="4A5568"/>
        </w:rPr>
        <w:t>Blood  •</w:t>
      </w:r>
      <w:proofErr w:type="gramEnd"/>
      <w:r>
        <w:rPr>
          <w:color w:val="4A5568"/>
        </w:rPr>
        <w:t xml:space="preserve">  </w:t>
      </w:r>
      <w:proofErr w:type="gramStart"/>
      <w:r>
        <w:rPr>
          <w:color w:val="4A5568"/>
        </w:rPr>
        <w:t>AI  •</w:t>
      </w:r>
      <w:proofErr w:type="gramEnd"/>
      <w:r>
        <w:rPr>
          <w:color w:val="4A5568"/>
        </w:rPr>
        <w:t xml:space="preserve">  Patient-Owned Data</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882FA1" w14:paraId="16E45BFC" w14:textId="77777777">
        <w:tc>
          <w:tcPr>
            <w:tcW w:w="2610" w:type="dxa"/>
            <w:tcBorders>
              <w:top w:val="none" w:sz="0" w:space="0" w:color="FFFFFF"/>
              <w:left w:val="none" w:sz="0" w:space="0" w:color="FFFFFF"/>
              <w:bottom w:val="none" w:sz="0" w:space="0" w:color="FFFFFF"/>
              <w:right w:val="none" w:sz="0" w:space="0" w:color="FFFFFF"/>
            </w:tcBorders>
            <w:shd w:val="clear" w:color="auto" w:fill="0D2137"/>
            <w:tcMar>
              <w:top w:w="120" w:type="dxa"/>
              <w:left w:w="80" w:type="dxa"/>
              <w:bottom w:w="120" w:type="dxa"/>
              <w:right w:w="80" w:type="dxa"/>
            </w:tcMar>
            <w:vAlign w:val="center"/>
          </w:tcPr>
          <w:p w14:paraId="0EAB283B" w14:textId="77777777" w:rsidR="00882FA1" w:rsidRDefault="00000000">
            <w:pPr>
              <w:jc w:val="center"/>
            </w:pPr>
            <w:r>
              <w:rPr>
                <w:rFonts w:ascii="Georgia" w:eastAsia="Georgia" w:hAnsi="Georgia" w:cs="Georgia"/>
                <w:b/>
                <w:bCs/>
                <w:color w:val="1BA3B4"/>
                <w:sz w:val="32"/>
                <w:szCs w:val="32"/>
              </w:rPr>
              <w:t>$5M+</w:t>
            </w:r>
          </w:p>
          <w:p w14:paraId="5733136F" w14:textId="77777777" w:rsidR="00882FA1" w:rsidRDefault="00000000">
            <w:pPr>
              <w:spacing w:before="20"/>
              <w:jc w:val="center"/>
            </w:pPr>
            <w:r>
              <w:rPr>
                <w:color w:val="B0C4D8"/>
                <w:sz w:val="16"/>
                <w:szCs w:val="16"/>
              </w:rPr>
              <w:t>2026 Revenue Visibility</w:t>
            </w:r>
          </w:p>
        </w:tc>
        <w:tc>
          <w:tcPr>
            <w:tcW w:w="2610" w:type="dxa"/>
            <w:tcBorders>
              <w:top w:val="none" w:sz="0" w:space="0" w:color="FFFFFF"/>
              <w:left w:val="none" w:sz="0" w:space="0" w:color="FFFFFF"/>
              <w:bottom w:val="none" w:sz="0" w:space="0" w:color="FFFFFF"/>
              <w:right w:val="none" w:sz="0" w:space="0" w:color="FFFFFF"/>
            </w:tcBorders>
            <w:shd w:val="clear" w:color="auto" w:fill="0D2137"/>
            <w:tcMar>
              <w:top w:w="120" w:type="dxa"/>
              <w:left w:w="80" w:type="dxa"/>
              <w:bottom w:w="120" w:type="dxa"/>
              <w:right w:w="80" w:type="dxa"/>
            </w:tcMar>
            <w:vAlign w:val="center"/>
          </w:tcPr>
          <w:p w14:paraId="5D7D6569" w14:textId="77777777" w:rsidR="00882FA1" w:rsidRDefault="00000000">
            <w:pPr>
              <w:jc w:val="center"/>
            </w:pPr>
            <w:r>
              <w:rPr>
                <w:rFonts w:ascii="Georgia" w:eastAsia="Georgia" w:hAnsi="Georgia" w:cs="Georgia"/>
                <w:b/>
                <w:bCs/>
                <w:color w:val="1BA3B4"/>
                <w:sz w:val="32"/>
                <w:szCs w:val="32"/>
              </w:rPr>
              <w:t>100K+</w:t>
            </w:r>
          </w:p>
          <w:p w14:paraId="2EA8500D" w14:textId="77777777" w:rsidR="00882FA1" w:rsidRDefault="00000000">
            <w:pPr>
              <w:spacing w:before="20"/>
              <w:jc w:val="center"/>
            </w:pPr>
            <w:r>
              <w:rPr>
                <w:color w:val="B0C4D8"/>
                <w:sz w:val="16"/>
                <w:szCs w:val="16"/>
              </w:rPr>
              <w:t>Patients Ready</w:t>
            </w:r>
          </w:p>
        </w:tc>
        <w:tc>
          <w:tcPr>
            <w:tcW w:w="2610" w:type="dxa"/>
            <w:tcBorders>
              <w:top w:val="none" w:sz="0" w:space="0" w:color="FFFFFF"/>
              <w:left w:val="none" w:sz="0" w:space="0" w:color="FFFFFF"/>
              <w:bottom w:val="none" w:sz="0" w:space="0" w:color="FFFFFF"/>
              <w:right w:val="none" w:sz="0" w:space="0" w:color="FFFFFF"/>
            </w:tcBorders>
            <w:shd w:val="clear" w:color="auto" w:fill="0D2137"/>
            <w:tcMar>
              <w:top w:w="120" w:type="dxa"/>
              <w:left w:w="80" w:type="dxa"/>
              <w:bottom w:w="120" w:type="dxa"/>
              <w:right w:w="80" w:type="dxa"/>
            </w:tcMar>
            <w:vAlign w:val="center"/>
          </w:tcPr>
          <w:p w14:paraId="0A13D393" w14:textId="77777777" w:rsidR="00882FA1" w:rsidRDefault="00000000">
            <w:pPr>
              <w:jc w:val="center"/>
            </w:pPr>
            <w:r>
              <w:rPr>
                <w:rFonts w:ascii="Georgia" w:eastAsia="Georgia" w:hAnsi="Georgia" w:cs="Georgia"/>
                <w:b/>
                <w:bCs/>
                <w:color w:val="1BA3B4"/>
                <w:sz w:val="32"/>
                <w:szCs w:val="32"/>
              </w:rPr>
              <w:t>$250B+</w:t>
            </w:r>
          </w:p>
          <w:p w14:paraId="35A86181" w14:textId="77777777" w:rsidR="00882FA1" w:rsidRDefault="00000000">
            <w:pPr>
              <w:spacing w:before="20"/>
              <w:jc w:val="center"/>
            </w:pPr>
            <w:r>
              <w:rPr>
                <w:color w:val="B0C4D8"/>
                <w:sz w:val="16"/>
                <w:szCs w:val="16"/>
              </w:rPr>
              <w:t>TAM</w:t>
            </w:r>
          </w:p>
        </w:tc>
        <w:tc>
          <w:tcPr>
            <w:tcW w:w="2610" w:type="dxa"/>
            <w:tcBorders>
              <w:top w:val="none" w:sz="0" w:space="0" w:color="FFFFFF"/>
              <w:left w:val="none" w:sz="0" w:space="0" w:color="FFFFFF"/>
              <w:bottom w:val="none" w:sz="0" w:space="0" w:color="FFFFFF"/>
              <w:right w:val="none" w:sz="0" w:space="0" w:color="FFFFFF"/>
            </w:tcBorders>
            <w:shd w:val="clear" w:color="auto" w:fill="0D2137"/>
            <w:tcMar>
              <w:top w:w="120" w:type="dxa"/>
              <w:left w:w="80" w:type="dxa"/>
              <w:bottom w:w="120" w:type="dxa"/>
              <w:right w:w="80" w:type="dxa"/>
            </w:tcMar>
            <w:vAlign w:val="center"/>
          </w:tcPr>
          <w:p w14:paraId="17B1670F" w14:textId="77777777" w:rsidR="00882FA1" w:rsidRDefault="00000000">
            <w:pPr>
              <w:jc w:val="center"/>
            </w:pPr>
            <w:r>
              <w:rPr>
                <w:rFonts w:ascii="Georgia" w:eastAsia="Georgia" w:hAnsi="Georgia" w:cs="Georgia"/>
                <w:b/>
                <w:bCs/>
                <w:color w:val="1BA3B4"/>
                <w:sz w:val="32"/>
                <w:szCs w:val="32"/>
              </w:rPr>
              <w:t>$10–20M</w:t>
            </w:r>
          </w:p>
          <w:p w14:paraId="0BCB7216" w14:textId="77777777" w:rsidR="00882FA1" w:rsidRDefault="00000000">
            <w:pPr>
              <w:spacing w:before="20"/>
              <w:jc w:val="center"/>
            </w:pPr>
            <w:r>
              <w:rPr>
                <w:color w:val="B0C4D8"/>
                <w:sz w:val="16"/>
                <w:szCs w:val="16"/>
              </w:rPr>
              <w:t>Bridge Round</w:t>
            </w:r>
          </w:p>
        </w:tc>
      </w:tr>
    </w:tbl>
    <w:p w14:paraId="51A9898B" w14:textId="77777777" w:rsidR="00882FA1" w:rsidRDefault="00882FA1">
      <w:pPr>
        <w:spacing w:before="140"/>
      </w:pPr>
    </w:p>
    <w:p w14:paraId="700E7FC5" w14:textId="77777777" w:rsidR="00882FA1" w:rsidRDefault="00000000">
      <w:pPr>
        <w:spacing w:before="200" w:after="60"/>
      </w:pPr>
      <w:r>
        <w:rPr>
          <w:rFonts w:ascii="Georgia" w:eastAsia="Georgia" w:hAnsi="Georgia" w:cs="Georgia"/>
          <w:b/>
          <w:bCs/>
          <w:color w:val="0A7E8C"/>
          <w:sz w:val="22"/>
          <w:szCs w:val="22"/>
        </w:rPr>
        <w:t>THE OPPORTUNITY</w:t>
      </w:r>
    </w:p>
    <w:p w14:paraId="7748A671" w14:textId="77777777" w:rsidR="00882FA1" w:rsidRDefault="00000000">
      <w:pPr>
        <w:spacing w:before="40" w:after="40"/>
      </w:pPr>
      <w:r>
        <w:rPr>
          <w:color w:val="4A5568"/>
        </w:rPr>
        <w:t>Person Health is building the world’s first multi-modal, AI-powered, patient-owned health intelligence platform — integrating breath-based diagnostics, blood-based molecular fingerprinting, and enterprise AI into a single operating system for human health. This is not a single-product company. It is a compounding diagnostic infrastructure play with clear revenue visibility, real patients, and a 6-month proof cycle to a $500M+ Series A.</w:t>
      </w:r>
    </w:p>
    <w:p w14:paraId="39264340" w14:textId="77777777" w:rsidR="00882FA1" w:rsidRDefault="00882FA1">
      <w:pPr>
        <w:spacing w:before="60"/>
      </w:pPr>
    </w:p>
    <w:p w14:paraId="0BEEAE04" w14:textId="77777777" w:rsidR="00882FA1" w:rsidRDefault="00000000">
      <w:pPr>
        <w:spacing w:before="200" w:after="60"/>
      </w:pPr>
      <w:r>
        <w:rPr>
          <w:rFonts w:ascii="Georgia" w:eastAsia="Georgia" w:hAnsi="Georgia" w:cs="Georgia"/>
          <w:b/>
          <w:bCs/>
          <w:color w:val="0A7E8C"/>
          <w:sz w:val="22"/>
          <w:szCs w:val="22"/>
        </w:rPr>
        <w:t>WHY NOW</w:t>
      </w:r>
    </w:p>
    <w:p w14:paraId="5E969908" w14:textId="77777777" w:rsidR="00882FA1" w:rsidRDefault="00000000">
      <w:pPr>
        <w:spacing w:before="40" w:after="40"/>
      </w:pPr>
      <w:r>
        <w:rPr>
          <w:color w:val="4A5568"/>
        </w:rPr>
        <w:t>Healthcare is entering a structural margin reset. Reimbursement compression, labor cost inflation, and ICU capacity constraints are eroding traditional operating levers. Simultaneously, AI infrastructure has matured to enterprise-grade, multi-modal diagnostics have become clinically viable, and institutional capital is actively seeking durable healthcare infrastructure plays. Person Health sits at the exact convergence of these forces.</w:t>
      </w:r>
    </w:p>
    <w:p w14:paraId="5279AFFB" w14:textId="77777777" w:rsidR="00882FA1" w:rsidRDefault="00882FA1">
      <w:pPr>
        <w:spacing w:before="60"/>
      </w:pPr>
    </w:p>
    <w:p w14:paraId="2161157D" w14:textId="77777777" w:rsidR="00882FA1" w:rsidRDefault="00000000">
      <w:pPr>
        <w:spacing w:before="200" w:after="60"/>
      </w:pPr>
      <w:r>
        <w:rPr>
          <w:rFonts w:ascii="Georgia" w:eastAsia="Georgia" w:hAnsi="Georgia" w:cs="Georgia"/>
          <w:b/>
          <w:bCs/>
          <w:color w:val="0A7E8C"/>
          <w:sz w:val="22"/>
          <w:szCs w:val="22"/>
        </w:rPr>
        <w:t>THE PLATFORM: ONE PATIENT. MULTIPLE SIGNALS. ONE TRUTH.</w:t>
      </w:r>
    </w:p>
    <w:p w14:paraId="24822611" w14:textId="77777777" w:rsidR="00882FA1" w:rsidRDefault="00000000">
      <w:pPr>
        <w:spacing w:before="40" w:after="40"/>
      </w:pPr>
      <w:r>
        <w:rPr>
          <w:color w:val="4A5568"/>
        </w:rPr>
        <w:t>Person Health unifies three proprietary diagnostic modalities through a single AI decision layer:</w:t>
      </w:r>
    </w:p>
    <w:p w14:paraId="2FFB22DC" w14:textId="6B320C14" w:rsidR="00882FA1" w:rsidRDefault="00000000">
      <w:pPr>
        <w:spacing w:before="40" w:after="40"/>
      </w:pPr>
      <w:r>
        <w:rPr>
          <w:b/>
          <w:bCs/>
          <w:color w:val="0D2137"/>
        </w:rPr>
        <w:t>Breath (</w:t>
      </w:r>
      <w:proofErr w:type="spellStart"/>
      <w:r>
        <w:rPr>
          <w:b/>
          <w:bCs/>
          <w:color w:val="0D2137"/>
        </w:rPr>
        <w:t>VocxiHealth</w:t>
      </w:r>
      <w:proofErr w:type="spellEnd"/>
      <w:r>
        <w:rPr>
          <w:b/>
          <w:bCs/>
          <w:color w:val="0D2137"/>
        </w:rPr>
        <w:t xml:space="preserve"> / </w:t>
      </w:r>
      <w:proofErr w:type="spellStart"/>
      <w:r>
        <w:rPr>
          <w:b/>
          <w:bCs/>
          <w:color w:val="0D2137"/>
        </w:rPr>
        <w:t>MyBreathPrint</w:t>
      </w:r>
      <w:proofErr w:type="spellEnd"/>
      <w:r>
        <w:rPr>
          <w:b/>
          <w:bCs/>
          <w:color w:val="0D2137"/>
        </w:rPr>
        <w:t xml:space="preserve">®): </w:t>
      </w:r>
      <w:r>
        <w:rPr>
          <w:color w:val="4A5568"/>
        </w:rPr>
        <w:t xml:space="preserve">Graphene </w:t>
      </w:r>
      <w:proofErr w:type="spellStart"/>
      <w:r>
        <w:rPr>
          <w:color w:val="4A5568"/>
        </w:rPr>
        <w:t>nanosensor</w:t>
      </w:r>
      <w:proofErr w:type="spellEnd"/>
      <w:r>
        <w:rPr>
          <w:color w:val="4A5568"/>
        </w:rPr>
        <w:t xml:space="preserve"> arrays detect </w:t>
      </w:r>
      <w:r w:rsidR="00F446E5">
        <w:rPr>
          <w:color w:val="4A5568"/>
        </w:rPr>
        <w:t>3</w:t>
      </w:r>
      <w:r>
        <w:rPr>
          <w:color w:val="4A5568"/>
        </w:rPr>
        <w:t xml:space="preserve">,000+ </w:t>
      </w:r>
      <w:r w:rsidR="00F446E5">
        <w:rPr>
          <w:color w:val="4A5568"/>
        </w:rPr>
        <w:t>VOC</w:t>
      </w:r>
      <w:r>
        <w:rPr>
          <w:color w:val="4A5568"/>
        </w:rPr>
        <w:t>s from a 60-sec breath sample. 40+ patents. 9</w:t>
      </w:r>
      <w:r w:rsidR="00882860">
        <w:rPr>
          <w:color w:val="4A5568"/>
        </w:rPr>
        <w:t>0+</w:t>
      </w:r>
      <w:r>
        <w:rPr>
          <w:color w:val="4A5568"/>
        </w:rPr>
        <w:t xml:space="preserve">% </w:t>
      </w:r>
      <w:proofErr w:type="gramStart"/>
      <w:r w:rsidR="00F446E5">
        <w:rPr>
          <w:color w:val="4A5568"/>
        </w:rPr>
        <w:t>sensitivity(</w:t>
      </w:r>
      <w:proofErr w:type="gramEnd"/>
      <w:r w:rsidR="00F446E5">
        <w:rPr>
          <w:color w:val="4A5568"/>
        </w:rPr>
        <w:t>lung cancer)</w:t>
      </w:r>
      <w:r>
        <w:rPr>
          <w:color w:val="4A5568"/>
        </w:rPr>
        <w:t xml:space="preserve">. </w:t>
      </w:r>
      <w:r w:rsidR="00F446E5">
        <w:rPr>
          <w:color w:val="4A5568"/>
        </w:rPr>
        <w:t xml:space="preserve">MD Anderson &amp; </w:t>
      </w:r>
      <w:r>
        <w:rPr>
          <w:color w:val="4A5568"/>
        </w:rPr>
        <w:t>Mayo Clinic collaboration</w:t>
      </w:r>
      <w:r w:rsidR="00F446E5">
        <w:rPr>
          <w:color w:val="4A5568"/>
        </w:rPr>
        <w:t>s</w:t>
      </w:r>
      <w:r>
        <w:rPr>
          <w:color w:val="4A5568"/>
        </w:rPr>
        <w:t>. No needles. No lab. Immediate results.</w:t>
      </w:r>
    </w:p>
    <w:p w14:paraId="50750CBD" w14:textId="77777777" w:rsidR="00882FA1" w:rsidRDefault="00000000">
      <w:pPr>
        <w:spacing w:before="40" w:after="40"/>
      </w:pPr>
      <w:r>
        <w:rPr>
          <w:b/>
          <w:bCs/>
          <w:color w:val="0D2137"/>
        </w:rPr>
        <w:t>Blood (</w:t>
      </w:r>
      <w:proofErr w:type="spellStart"/>
      <w:r>
        <w:rPr>
          <w:b/>
          <w:bCs/>
          <w:color w:val="0D2137"/>
        </w:rPr>
        <w:t>Oncodea</w:t>
      </w:r>
      <w:proofErr w:type="spellEnd"/>
      <w:r>
        <w:rPr>
          <w:b/>
          <w:bCs/>
          <w:color w:val="0D2137"/>
        </w:rPr>
        <w:t xml:space="preserve"> / </w:t>
      </w:r>
      <w:proofErr w:type="spellStart"/>
      <w:r>
        <w:rPr>
          <w:b/>
          <w:bCs/>
          <w:color w:val="0D2137"/>
        </w:rPr>
        <w:t>OncodeAi</w:t>
      </w:r>
      <w:proofErr w:type="spellEnd"/>
      <w:r>
        <w:rPr>
          <w:b/>
          <w:bCs/>
          <w:color w:val="0D2137"/>
        </w:rPr>
        <w:t xml:space="preserve">™): </w:t>
      </w:r>
      <w:r>
        <w:rPr>
          <w:color w:val="4A5568"/>
        </w:rPr>
        <w:t xml:space="preserve">Molecular fingerprinting detects cancer before symptoms from a simple blood draw. 7x more accurate than Exact Sciences’ </w:t>
      </w:r>
      <w:proofErr w:type="spellStart"/>
      <w:r>
        <w:rPr>
          <w:color w:val="4A5568"/>
        </w:rPr>
        <w:t>CancerGuard</w:t>
      </w:r>
      <w:proofErr w:type="spellEnd"/>
      <w:r>
        <w:rPr>
          <w:color w:val="4A5568"/>
        </w:rPr>
        <w:t xml:space="preserve"> for breast cancer. Multi-center VERITY clinical trial active. FDA pathway: 12–15 months.</w:t>
      </w:r>
    </w:p>
    <w:p w14:paraId="35769F0E" w14:textId="77777777" w:rsidR="00882FA1" w:rsidRDefault="00000000">
      <w:pPr>
        <w:spacing w:before="40" w:after="40"/>
      </w:pPr>
      <w:r>
        <w:rPr>
          <w:b/>
          <w:bCs/>
          <w:color w:val="0D2137"/>
        </w:rPr>
        <w:t xml:space="preserve">AI Layer (RealBusiness.AI / </w:t>
      </w:r>
      <w:proofErr w:type="spellStart"/>
      <w:r>
        <w:rPr>
          <w:b/>
          <w:bCs/>
          <w:color w:val="0D2137"/>
        </w:rPr>
        <w:t>MyWellnessQ</w:t>
      </w:r>
      <w:proofErr w:type="spellEnd"/>
      <w:r>
        <w:rPr>
          <w:b/>
          <w:bCs/>
          <w:color w:val="0D2137"/>
        </w:rPr>
        <w:t xml:space="preserve">): </w:t>
      </w:r>
      <w:r>
        <w:rPr>
          <w:color w:val="4A5568"/>
        </w:rPr>
        <w:t>Agentic AI unifies breath, blood, and EHR data into real-time clinical intelligence. HIPAA-compliant. Enterprise-grade. 100K+ patients contracted and ready for immediate enrollment.</w:t>
      </w:r>
    </w:p>
    <w:p w14:paraId="22C0A13F" w14:textId="77777777" w:rsidR="00882FA1" w:rsidRDefault="00882FA1">
      <w:pPr>
        <w:spacing w:before="60"/>
      </w:pPr>
    </w:p>
    <w:p w14:paraId="52F6BA76" w14:textId="77777777" w:rsidR="00882FA1" w:rsidRDefault="00000000">
      <w:pPr>
        <w:spacing w:before="200" w:after="60"/>
      </w:pPr>
      <w:r>
        <w:rPr>
          <w:rFonts w:ascii="Georgia" w:eastAsia="Georgia" w:hAnsi="Georgia" w:cs="Georgia"/>
          <w:b/>
          <w:bCs/>
          <w:color w:val="0A7E8C"/>
          <w:sz w:val="22"/>
          <w:szCs w:val="22"/>
        </w:rPr>
        <w:t>STRATEGIC LAB INFRASTRUCTURE: EXCLUSIVE PARTNERSHIP</w:t>
      </w:r>
    </w:p>
    <w:p w14:paraId="5E5C3322" w14:textId="77777777" w:rsidR="00882FA1" w:rsidRDefault="00000000">
      <w:pPr>
        <w:spacing w:before="40" w:after="40"/>
      </w:pPr>
      <w:r>
        <w:rPr>
          <w:color w:val="4A5568"/>
        </w:rPr>
        <w:t>Person Health’s diagnostic backbone is powered by Molecular Testing Labs (MTL), a CLIA/CAP-certified reference laboratory processing 100K+ tests per month across 70+ assays, with 44+ state Medicaid programs and 27+ managed care contracts generating approximately $50M in annual revenue. MTL operates as an exclusive strategic partner through RealBusiness.AI, which holds an exclusive partnership granting wholesale pricing and dedicated sale channel exclusivity. This arrangement gives Person Health institutional-grade laboratory infrastructure, nationwide payor coverage, and preferred unit economics — without the capital burden of owning and operating a reference lab. Person Health is the platform built to scale this capability across the United States.</w:t>
      </w:r>
    </w:p>
    <w:p w14:paraId="12227945" w14:textId="77777777" w:rsidR="00882FA1" w:rsidRDefault="00882FA1">
      <w:pPr>
        <w:spacing w:before="60"/>
      </w:pPr>
    </w:p>
    <w:p w14:paraId="4F92FE58" w14:textId="77777777" w:rsidR="00882FA1" w:rsidRDefault="00000000">
      <w:pPr>
        <w:spacing w:before="200" w:after="60"/>
      </w:pPr>
      <w:r>
        <w:rPr>
          <w:rFonts w:ascii="Georgia" w:eastAsia="Georgia" w:hAnsi="Georgia" w:cs="Georgia"/>
          <w:b/>
          <w:bCs/>
          <w:color w:val="0A7E8C"/>
          <w:sz w:val="22"/>
          <w:szCs w:val="22"/>
        </w:rPr>
        <w:t>REVENUE ARCHITECTURE</w:t>
      </w:r>
    </w:p>
    <w:p w14:paraId="55344B3C" w14:textId="77777777" w:rsidR="00882FA1" w:rsidRDefault="00000000">
      <w:pPr>
        <w:spacing w:before="40" w:after="40"/>
      </w:pPr>
      <w:r>
        <w:rPr>
          <w:color w:val="4A5568"/>
        </w:rPr>
        <w:t>Person Health has clear visibility to a minimum of $5M in revenue in 2026, with multiple compounding streams: per-test diagnostic revenue reimbursed through MTL’s existing payor networks, SaaS platform subscriptions for health systems and employers, direct-to-consumer screening packages with at-home collection kits, pharma partnerships for biomarker discovery and clinical trials, and international distribution through KCCI’s 160+ country network. As more patients enter the system, data improves AI models, new indications unlock, and revenue compounds.</w:t>
      </w:r>
    </w:p>
    <w:p w14:paraId="523731C2" w14:textId="77777777" w:rsidR="00882FA1" w:rsidRDefault="00882FA1">
      <w:pPr>
        <w:sectPr w:rsidR="00882FA1">
          <w:headerReference w:type="default" r:id="rId8"/>
          <w:footerReference w:type="default" r:id="rId9"/>
          <w:pgSz w:w="12240" w:h="15840"/>
          <w:pgMar w:top="720" w:right="900" w:bottom="720" w:left="900" w:header="708" w:footer="708" w:gutter="0"/>
          <w:cols w:space="720"/>
          <w:docGrid w:linePitch="360"/>
        </w:sectPr>
      </w:pPr>
    </w:p>
    <w:p w14:paraId="2A7CCE13" w14:textId="77777777" w:rsidR="00882FA1" w:rsidRDefault="00000000">
      <w:pPr>
        <w:spacing w:before="200" w:after="60"/>
      </w:pPr>
      <w:r>
        <w:rPr>
          <w:rFonts w:ascii="Georgia" w:eastAsia="Georgia" w:hAnsi="Georgia" w:cs="Georgia"/>
          <w:b/>
          <w:bCs/>
          <w:color w:val="0A7E8C"/>
          <w:sz w:val="22"/>
          <w:szCs w:val="22"/>
        </w:rPr>
        <w:lastRenderedPageBreak/>
        <w:t>CLINICAL VALIDATION &amp; ECONOMIC IMPACT</w:t>
      </w:r>
    </w:p>
    <w:p w14:paraId="10FA6647" w14:textId="77777777" w:rsidR="00882FA1" w:rsidRDefault="00000000">
      <w:pPr>
        <w:spacing w:before="40" w:after="40"/>
      </w:pPr>
      <w:r>
        <w:rPr>
          <w:color w:val="4A5568"/>
        </w:rPr>
        <w:t>The initial hospital deployment targets acute pulmonary triage — aspiration pneumonia vs. pneumonitis — which affects 15–20% of hospital admissions and where survival drops 4% per hour when treatment is delayed. Conservative modeling shows $7.5M–$14.5M of operational impact per 10,000 admissions through reduced ICU escalation (5–10%), shorter length of stay (0.25–0.5 days), and improved lab margin capture. Leading academic medical centers, including Mayo Clinic, are actively evaluating this deployment model.</w:t>
      </w:r>
    </w:p>
    <w:p w14:paraId="71326E2F" w14:textId="77777777" w:rsidR="00882FA1" w:rsidRDefault="00882FA1">
      <w:pPr>
        <w:spacing w:before="60"/>
      </w:pPr>
    </w:p>
    <w:p w14:paraId="36B9EA59" w14:textId="77777777" w:rsidR="00882FA1" w:rsidRDefault="00000000">
      <w:pPr>
        <w:spacing w:before="200" w:after="60"/>
      </w:pPr>
      <w:r>
        <w:rPr>
          <w:rFonts w:ascii="Georgia" w:eastAsia="Georgia" w:hAnsi="Georgia" w:cs="Georgia"/>
          <w:b/>
          <w:bCs/>
          <w:color w:val="0A7E8C"/>
          <w:sz w:val="22"/>
          <w:szCs w:val="22"/>
        </w:rPr>
        <w:t>COMPETITIVE MOAT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10"/>
        <w:gridCol w:w="1810"/>
        <w:gridCol w:w="1810"/>
        <w:gridCol w:w="1810"/>
      </w:tblGrid>
      <w:tr w:rsidR="00882FA1" w14:paraId="0C826BD3" w14:textId="77777777">
        <w:tc>
          <w:tcPr>
            <w:tcW w:w="3200" w:type="dxa"/>
            <w:tcBorders>
              <w:top w:val="single" w:sz="1" w:space="0" w:color="E2E8F0"/>
              <w:left w:val="single" w:sz="1" w:space="0" w:color="E2E8F0"/>
              <w:bottom w:val="single" w:sz="1" w:space="0" w:color="E2E8F0"/>
              <w:right w:val="single" w:sz="1" w:space="0" w:color="E2E8F0"/>
            </w:tcBorders>
            <w:shd w:val="clear" w:color="auto" w:fill="0D2137"/>
            <w:tcMar>
              <w:top w:w="50" w:type="dxa"/>
              <w:left w:w="80" w:type="dxa"/>
              <w:bottom w:w="50" w:type="dxa"/>
              <w:right w:w="80" w:type="dxa"/>
            </w:tcMar>
            <w:vAlign w:val="center"/>
          </w:tcPr>
          <w:p w14:paraId="15603A1E" w14:textId="77777777" w:rsidR="00882FA1" w:rsidRDefault="00000000">
            <w:pPr>
              <w:jc w:val="center"/>
            </w:pPr>
            <w:r>
              <w:rPr>
                <w:b/>
                <w:bCs/>
                <w:color w:val="FFFFFF"/>
                <w:sz w:val="17"/>
                <w:szCs w:val="17"/>
              </w:rPr>
              <w:t>Capability</w:t>
            </w:r>
          </w:p>
        </w:tc>
        <w:tc>
          <w:tcPr>
            <w:tcW w:w="1810" w:type="dxa"/>
            <w:tcBorders>
              <w:top w:val="single" w:sz="1" w:space="0" w:color="E2E8F0"/>
              <w:left w:val="single" w:sz="1" w:space="0" w:color="E2E8F0"/>
              <w:bottom w:val="single" w:sz="1" w:space="0" w:color="E2E8F0"/>
              <w:right w:val="single" w:sz="1" w:space="0" w:color="E2E8F0"/>
            </w:tcBorders>
            <w:shd w:val="clear" w:color="auto" w:fill="0A7E8C"/>
            <w:tcMar>
              <w:top w:w="50" w:type="dxa"/>
              <w:left w:w="80" w:type="dxa"/>
              <w:bottom w:w="50" w:type="dxa"/>
              <w:right w:w="80" w:type="dxa"/>
            </w:tcMar>
            <w:vAlign w:val="center"/>
          </w:tcPr>
          <w:p w14:paraId="27A245F3" w14:textId="77777777" w:rsidR="00882FA1" w:rsidRDefault="00000000">
            <w:pPr>
              <w:jc w:val="center"/>
            </w:pPr>
            <w:r>
              <w:rPr>
                <w:b/>
                <w:bCs/>
                <w:color w:val="FFFFFF"/>
                <w:sz w:val="17"/>
                <w:szCs w:val="17"/>
              </w:rPr>
              <w:t>Person Health</w:t>
            </w:r>
          </w:p>
        </w:tc>
        <w:tc>
          <w:tcPr>
            <w:tcW w:w="1810" w:type="dxa"/>
            <w:tcBorders>
              <w:top w:val="single" w:sz="1" w:space="0" w:color="E2E8F0"/>
              <w:left w:val="single" w:sz="1" w:space="0" w:color="E2E8F0"/>
              <w:bottom w:val="single" w:sz="1" w:space="0" w:color="E2E8F0"/>
              <w:right w:val="single" w:sz="1" w:space="0" w:color="E2E8F0"/>
            </w:tcBorders>
            <w:shd w:val="clear" w:color="auto" w:fill="E2E8F0"/>
            <w:tcMar>
              <w:top w:w="50" w:type="dxa"/>
              <w:left w:w="80" w:type="dxa"/>
              <w:bottom w:w="50" w:type="dxa"/>
              <w:right w:w="80" w:type="dxa"/>
            </w:tcMar>
            <w:vAlign w:val="center"/>
          </w:tcPr>
          <w:p w14:paraId="176245D5" w14:textId="77777777" w:rsidR="00882FA1" w:rsidRDefault="00000000">
            <w:pPr>
              <w:jc w:val="center"/>
            </w:pPr>
            <w:r>
              <w:rPr>
                <w:b/>
                <w:bCs/>
                <w:color w:val="0D2137"/>
                <w:sz w:val="17"/>
                <w:szCs w:val="17"/>
              </w:rPr>
              <w:t>GRAIL</w:t>
            </w:r>
          </w:p>
        </w:tc>
        <w:tc>
          <w:tcPr>
            <w:tcW w:w="1810" w:type="dxa"/>
            <w:tcBorders>
              <w:top w:val="single" w:sz="1" w:space="0" w:color="E2E8F0"/>
              <w:left w:val="single" w:sz="1" w:space="0" w:color="E2E8F0"/>
              <w:bottom w:val="single" w:sz="1" w:space="0" w:color="E2E8F0"/>
              <w:right w:val="single" w:sz="1" w:space="0" w:color="E2E8F0"/>
            </w:tcBorders>
            <w:shd w:val="clear" w:color="auto" w:fill="E2E8F0"/>
            <w:tcMar>
              <w:top w:w="50" w:type="dxa"/>
              <w:left w:w="80" w:type="dxa"/>
              <w:bottom w:w="50" w:type="dxa"/>
              <w:right w:w="80" w:type="dxa"/>
            </w:tcMar>
            <w:vAlign w:val="center"/>
          </w:tcPr>
          <w:p w14:paraId="301DCBF4" w14:textId="77777777" w:rsidR="00882FA1" w:rsidRDefault="00000000">
            <w:pPr>
              <w:jc w:val="center"/>
            </w:pPr>
            <w:r>
              <w:rPr>
                <w:b/>
                <w:bCs/>
                <w:color w:val="0D2137"/>
                <w:sz w:val="17"/>
                <w:szCs w:val="17"/>
              </w:rPr>
              <w:t>Exact Sciences</w:t>
            </w:r>
          </w:p>
        </w:tc>
        <w:tc>
          <w:tcPr>
            <w:tcW w:w="1810" w:type="dxa"/>
            <w:tcBorders>
              <w:top w:val="single" w:sz="1" w:space="0" w:color="E2E8F0"/>
              <w:left w:val="single" w:sz="1" w:space="0" w:color="E2E8F0"/>
              <w:bottom w:val="single" w:sz="1" w:space="0" w:color="E2E8F0"/>
              <w:right w:val="single" w:sz="1" w:space="0" w:color="E2E8F0"/>
            </w:tcBorders>
            <w:shd w:val="clear" w:color="auto" w:fill="E2E8F0"/>
            <w:tcMar>
              <w:top w:w="50" w:type="dxa"/>
              <w:left w:w="80" w:type="dxa"/>
              <w:bottom w:w="50" w:type="dxa"/>
              <w:right w:w="80" w:type="dxa"/>
            </w:tcMar>
            <w:vAlign w:val="center"/>
          </w:tcPr>
          <w:p w14:paraId="022625BD" w14:textId="77777777" w:rsidR="00882FA1" w:rsidRDefault="00000000">
            <w:pPr>
              <w:jc w:val="center"/>
            </w:pPr>
            <w:proofErr w:type="spellStart"/>
            <w:r>
              <w:rPr>
                <w:b/>
                <w:bCs/>
                <w:color w:val="0D2137"/>
                <w:sz w:val="17"/>
                <w:szCs w:val="17"/>
              </w:rPr>
              <w:t>Freenome</w:t>
            </w:r>
            <w:proofErr w:type="spellEnd"/>
          </w:p>
        </w:tc>
      </w:tr>
      <w:tr w:rsidR="00882FA1" w14:paraId="5D301A60" w14:textId="77777777">
        <w:tc>
          <w:tcPr>
            <w:tcW w:w="320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026F3EEC" w14:textId="77777777" w:rsidR="00882FA1" w:rsidRDefault="00000000">
            <w:pPr>
              <w:jc w:val="center"/>
            </w:pPr>
            <w:r>
              <w:rPr>
                <w:color w:val="4A5568"/>
                <w:sz w:val="17"/>
                <w:szCs w:val="17"/>
              </w:rPr>
              <w:t>Breath-Based Detection</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00CD8FDD" w14:textId="77777777" w:rsidR="00882FA1" w:rsidRDefault="00000000">
            <w:pPr>
              <w:jc w:val="center"/>
            </w:pPr>
            <w:r>
              <w:rPr>
                <w:b/>
                <w:bCs/>
                <w:color w:val="0A7E8C"/>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6914B4FB" w14:textId="77777777" w:rsidR="00882FA1" w:rsidRDefault="00000000">
            <w:pPr>
              <w:jc w:val="center"/>
            </w:pPr>
            <w:r>
              <w:rPr>
                <w:color w:val="4A5568"/>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5A6FE4BF" w14:textId="77777777" w:rsidR="00882FA1" w:rsidRDefault="00000000">
            <w:pPr>
              <w:jc w:val="center"/>
            </w:pPr>
            <w:r>
              <w:rPr>
                <w:color w:val="4A5568"/>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11A7608F" w14:textId="77777777" w:rsidR="00882FA1" w:rsidRDefault="00000000">
            <w:pPr>
              <w:jc w:val="center"/>
            </w:pPr>
            <w:r>
              <w:rPr>
                <w:color w:val="4A5568"/>
                <w:sz w:val="17"/>
                <w:szCs w:val="17"/>
              </w:rPr>
              <w:t>—</w:t>
            </w:r>
          </w:p>
        </w:tc>
      </w:tr>
      <w:tr w:rsidR="00882FA1" w14:paraId="7A4AAF52"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1970B935" w14:textId="732AF72D" w:rsidR="00882FA1" w:rsidRDefault="00000000">
            <w:pPr>
              <w:jc w:val="center"/>
            </w:pPr>
            <w:r>
              <w:rPr>
                <w:color w:val="4A5568"/>
                <w:sz w:val="17"/>
                <w:szCs w:val="17"/>
              </w:rPr>
              <w:t xml:space="preserve">Blood Molecular </w:t>
            </w:r>
            <w:r w:rsidR="00BB765A">
              <w:rPr>
                <w:color w:val="4A5568"/>
                <w:sz w:val="17"/>
                <w:szCs w:val="17"/>
              </w:rPr>
              <w:t>Fingerprinting</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147DE20D" w14:textId="77777777" w:rsidR="00882FA1" w:rsidRDefault="00000000">
            <w:pPr>
              <w:jc w:val="center"/>
            </w:pPr>
            <w:r>
              <w:rPr>
                <w:b/>
                <w:bCs/>
                <w:color w:val="0A7E8C"/>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3C55BE40" w14:textId="16A37316" w:rsidR="00882FA1" w:rsidRDefault="00BB765A">
            <w:pPr>
              <w:jc w:val="center"/>
            </w:pPr>
            <w:r>
              <w:rPr>
                <w:color w:val="4A5568"/>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40707990" w14:textId="12B95097" w:rsidR="00882FA1" w:rsidRDefault="00BB765A">
            <w:pPr>
              <w:jc w:val="center"/>
            </w:pPr>
            <w:r>
              <w:rPr>
                <w:color w:val="4A5568"/>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35F45AC3" w14:textId="6C103EDB" w:rsidR="00882FA1" w:rsidRDefault="00BB765A">
            <w:pPr>
              <w:jc w:val="center"/>
            </w:pPr>
            <w:r>
              <w:rPr>
                <w:color w:val="4A5568"/>
                <w:sz w:val="17"/>
                <w:szCs w:val="17"/>
              </w:rPr>
              <w:t>—</w:t>
            </w:r>
          </w:p>
        </w:tc>
      </w:tr>
      <w:tr w:rsidR="00882FA1" w14:paraId="33DA8896" w14:textId="77777777">
        <w:tc>
          <w:tcPr>
            <w:tcW w:w="320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1E34DDBE" w14:textId="77777777" w:rsidR="00882FA1" w:rsidRDefault="00000000">
            <w:pPr>
              <w:jc w:val="center"/>
            </w:pPr>
            <w:r>
              <w:rPr>
                <w:color w:val="4A5568"/>
                <w:sz w:val="17"/>
                <w:szCs w:val="17"/>
              </w:rPr>
              <w:t>Exclusive Lab Infrastructure</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6D2B8CB9" w14:textId="77777777" w:rsidR="00882FA1" w:rsidRDefault="00000000">
            <w:pPr>
              <w:jc w:val="center"/>
            </w:pPr>
            <w:r>
              <w:rPr>
                <w:b/>
                <w:bCs/>
                <w:color w:val="0A7E8C"/>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3AC29915" w14:textId="77777777" w:rsidR="00882FA1" w:rsidRDefault="00000000">
            <w:pPr>
              <w:jc w:val="center"/>
            </w:pPr>
            <w:r>
              <w:rPr>
                <w:color w:val="4A5568"/>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5677887A" w14:textId="77777777" w:rsidR="00882FA1" w:rsidRDefault="00000000">
            <w:pPr>
              <w:jc w:val="center"/>
            </w:pPr>
            <w:r>
              <w:rPr>
                <w:color w:val="4A5568"/>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42BBA5F5" w14:textId="77777777" w:rsidR="00882FA1" w:rsidRDefault="00000000">
            <w:pPr>
              <w:jc w:val="center"/>
            </w:pPr>
            <w:r>
              <w:rPr>
                <w:color w:val="4A5568"/>
                <w:sz w:val="17"/>
                <w:szCs w:val="17"/>
              </w:rPr>
              <w:t>—</w:t>
            </w:r>
          </w:p>
        </w:tc>
      </w:tr>
      <w:tr w:rsidR="00882FA1" w14:paraId="202CC43E"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61B6C180" w14:textId="77777777" w:rsidR="00882FA1" w:rsidRDefault="00000000">
            <w:pPr>
              <w:jc w:val="center"/>
            </w:pPr>
            <w:r>
              <w:rPr>
                <w:color w:val="4A5568"/>
                <w:sz w:val="17"/>
                <w:szCs w:val="17"/>
              </w:rPr>
              <w:t>AI Clinical Intelligence</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3B2A31A1" w14:textId="77777777" w:rsidR="00882FA1" w:rsidRDefault="00000000">
            <w:pPr>
              <w:jc w:val="center"/>
            </w:pPr>
            <w:r>
              <w:rPr>
                <w:b/>
                <w:bCs/>
                <w:color w:val="0A7E8C"/>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5CBEB711" w14:textId="77777777" w:rsidR="00882FA1" w:rsidRDefault="00000000">
            <w:pPr>
              <w:jc w:val="center"/>
            </w:pPr>
            <w:r>
              <w:rPr>
                <w:color w:val="4A5568"/>
                <w:sz w:val="17"/>
                <w:szCs w:val="17"/>
              </w:rPr>
              <w:t>Partial</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1B81EF41" w14:textId="77777777" w:rsidR="00882FA1" w:rsidRDefault="00000000">
            <w:pPr>
              <w:jc w:val="center"/>
            </w:pPr>
            <w:r>
              <w:rPr>
                <w:color w:val="4A5568"/>
                <w:sz w:val="17"/>
                <w:szCs w:val="17"/>
              </w:rPr>
              <w:t>Partial</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62C44F8D" w14:textId="77777777" w:rsidR="00882FA1" w:rsidRDefault="00000000">
            <w:pPr>
              <w:jc w:val="center"/>
            </w:pPr>
            <w:r>
              <w:rPr>
                <w:color w:val="4A5568"/>
                <w:sz w:val="17"/>
                <w:szCs w:val="17"/>
              </w:rPr>
              <w:t>✓</w:t>
            </w:r>
          </w:p>
        </w:tc>
      </w:tr>
      <w:tr w:rsidR="00882FA1" w14:paraId="1F3785BC" w14:textId="77777777">
        <w:tc>
          <w:tcPr>
            <w:tcW w:w="320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70714734" w14:textId="77777777" w:rsidR="00882FA1" w:rsidRDefault="00000000">
            <w:pPr>
              <w:jc w:val="center"/>
            </w:pPr>
            <w:r>
              <w:rPr>
                <w:color w:val="4A5568"/>
                <w:sz w:val="17"/>
                <w:szCs w:val="17"/>
              </w:rPr>
              <w:t>100K+ Patients Ready</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44C57713" w14:textId="77777777" w:rsidR="00882FA1" w:rsidRDefault="00000000">
            <w:pPr>
              <w:jc w:val="center"/>
            </w:pPr>
            <w:r>
              <w:rPr>
                <w:b/>
                <w:bCs/>
                <w:color w:val="0A7E8C"/>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6675DE01" w14:textId="77777777" w:rsidR="00882FA1" w:rsidRDefault="00000000">
            <w:pPr>
              <w:jc w:val="center"/>
            </w:pPr>
            <w:r>
              <w:rPr>
                <w:color w:val="4A5568"/>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52D2BEDA" w14:textId="77777777" w:rsidR="00882FA1" w:rsidRDefault="00000000">
            <w:pPr>
              <w:jc w:val="center"/>
            </w:pPr>
            <w:r>
              <w:rPr>
                <w:color w:val="4A5568"/>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4F8FA"/>
            <w:tcMar>
              <w:top w:w="50" w:type="dxa"/>
              <w:left w:w="80" w:type="dxa"/>
              <w:bottom w:w="50" w:type="dxa"/>
              <w:right w:w="80" w:type="dxa"/>
            </w:tcMar>
            <w:vAlign w:val="center"/>
          </w:tcPr>
          <w:p w14:paraId="79F0A003" w14:textId="77777777" w:rsidR="00882FA1" w:rsidRDefault="00000000">
            <w:pPr>
              <w:jc w:val="center"/>
            </w:pPr>
            <w:r>
              <w:rPr>
                <w:color w:val="4A5568"/>
                <w:sz w:val="17"/>
                <w:szCs w:val="17"/>
              </w:rPr>
              <w:t>—</w:t>
            </w:r>
          </w:p>
        </w:tc>
      </w:tr>
      <w:tr w:rsidR="00882FA1" w14:paraId="3505046D"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30122D7A" w14:textId="77777777" w:rsidR="00882FA1" w:rsidRDefault="00000000">
            <w:pPr>
              <w:jc w:val="center"/>
            </w:pPr>
            <w:r>
              <w:rPr>
                <w:color w:val="4A5568"/>
                <w:sz w:val="17"/>
                <w:szCs w:val="17"/>
              </w:rPr>
              <w:t>160+ Country Distribution</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4467734B" w14:textId="77777777" w:rsidR="00882FA1" w:rsidRDefault="00000000">
            <w:pPr>
              <w:jc w:val="center"/>
            </w:pPr>
            <w:r>
              <w:rPr>
                <w:b/>
                <w:bCs/>
                <w:color w:val="0A7E8C"/>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4FBED325" w14:textId="77777777" w:rsidR="00882FA1" w:rsidRDefault="00000000">
            <w:pPr>
              <w:jc w:val="center"/>
            </w:pPr>
            <w:r>
              <w:rPr>
                <w:color w:val="4A5568"/>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66B7168B" w14:textId="77777777" w:rsidR="00882FA1" w:rsidRDefault="00000000">
            <w:pPr>
              <w:jc w:val="center"/>
            </w:pPr>
            <w:r>
              <w:rPr>
                <w:color w:val="4A5568"/>
                <w:sz w:val="17"/>
                <w:szCs w:val="17"/>
              </w:rPr>
              <w:t>—</w:t>
            </w:r>
          </w:p>
        </w:tc>
        <w:tc>
          <w:tcPr>
            <w:tcW w:w="1810" w:type="dxa"/>
            <w:tcBorders>
              <w:top w:val="single" w:sz="1" w:space="0" w:color="E2E8F0"/>
              <w:left w:val="single" w:sz="1" w:space="0" w:color="E2E8F0"/>
              <w:bottom w:val="single" w:sz="1" w:space="0" w:color="E2E8F0"/>
              <w:right w:val="single" w:sz="1" w:space="0" w:color="E2E8F0"/>
            </w:tcBorders>
            <w:shd w:val="clear" w:color="auto" w:fill="FFFFFF"/>
            <w:tcMar>
              <w:top w:w="50" w:type="dxa"/>
              <w:left w:w="80" w:type="dxa"/>
              <w:bottom w:w="50" w:type="dxa"/>
              <w:right w:w="80" w:type="dxa"/>
            </w:tcMar>
            <w:vAlign w:val="center"/>
          </w:tcPr>
          <w:p w14:paraId="18E8C61D" w14:textId="77777777" w:rsidR="00882FA1" w:rsidRDefault="00000000">
            <w:pPr>
              <w:jc w:val="center"/>
            </w:pPr>
            <w:r>
              <w:rPr>
                <w:color w:val="4A5568"/>
                <w:sz w:val="17"/>
                <w:szCs w:val="17"/>
              </w:rPr>
              <w:t>—</w:t>
            </w:r>
          </w:p>
        </w:tc>
      </w:tr>
    </w:tbl>
    <w:p w14:paraId="1C87A4CA" w14:textId="77777777" w:rsidR="00882FA1" w:rsidRDefault="00882FA1">
      <w:pPr>
        <w:spacing w:before="80"/>
      </w:pPr>
    </w:p>
    <w:p w14:paraId="1AC98F09" w14:textId="77777777" w:rsidR="00882FA1" w:rsidRDefault="00000000">
      <w:pPr>
        <w:spacing w:before="200" w:after="60"/>
      </w:pPr>
      <w:r>
        <w:rPr>
          <w:rFonts w:ascii="Georgia" w:eastAsia="Georgia" w:hAnsi="Georgia" w:cs="Georgia"/>
          <w:b/>
          <w:bCs/>
          <w:color w:val="0A7E8C"/>
          <w:sz w:val="22"/>
          <w:szCs w:val="22"/>
        </w:rPr>
        <w:t>LEADERSHIP</w:t>
      </w:r>
    </w:p>
    <w:p w14:paraId="418101D8" w14:textId="553260FD" w:rsidR="00882FA1" w:rsidRDefault="00000000">
      <w:pPr>
        <w:spacing w:before="40" w:after="40"/>
      </w:pPr>
      <w:r>
        <w:rPr>
          <w:color w:val="4A5568"/>
        </w:rPr>
        <w:t>The team combines enterprise AI architecture (Thomas Sheehan, CDO — 30+ years, 50+ product launches), clinical execution at FDA scale (Randy Schiestl, COO — Former Head of</w:t>
      </w:r>
      <w:r w:rsidR="009B24DE">
        <w:rPr>
          <w:color w:val="4A5568"/>
        </w:rPr>
        <w:t xml:space="preserve"> Global Technology</w:t>
      </w:r>
      <w:r>
        <w:rPr>
          <w:color w:val="4A5568"/>
        </w:rPr>
        <w:t xml:space="preserve">, Boston Scientific), deep scientific innovation (Greg Sherwood — 80+ patents, inventor of Vocxi; Ali Khammanivong, PhD — inventor of </w:t>
      </w:r>
      <w:proofErr w:type="spellStart"/>
      <w:r>
        <w:rPr>
          <w:color w:val="4A5568"/>
        </w:rPr>
        <w:t>Oncodea</w:t>
      </w:r>
      <w:proofErr w:type="spellEnd"/>
      <w:r>
        <w:rPr>
          <w:color w:val="4A5568"/>
        </w:rPr>
        <w:t>), and healthcare commercialization expertise, backed by medical and senior advisory boards spanning Mayo Clinic, HCA, and Boston Scientific leadership.</w:t>
      </w:r>
    </w:p>
    <w:p w14:paraId="0D309071" w14:textId="77777777" w:rsidR="00882FA1" w:rsidRDefault="00882FA1">
      <w:pPr>
        <w:spacing w:before="60"/>
      </w:pPr>
    </w:p>
    <w:p w14:paraId="1B21F1C8" w14:textId="77777777" w:rsidR="00882FA1" w:rsidRDefault="00000000">
      <w:pPr>
        <w:spacing w:before="200" w:after="60"/>
      </w:pPr>
      <w:r>
        <w:rPr>
          <w:rFonts w:ascii="Georgia" w:eastAsia="Georgia" w:hAnsi="Georgia" w:cs="Georgia"/>
          <w:b/>
          <w:bCs/>
          <w:color w:val="0A7E8C"/>
          <w:sz w:val="22"/>
          <w:szCs w:val="22"/>
        </w:rPr>
        <w:t>USE OF PROCEEDS: ACCELERATING TO SCALE</w:t>
      </w:r>
    </w:p>
    <w:p w14:paraId="00453803" w14:textId="77777777" w:rsidR="00882FA1" w:rsidRDefault="00000000">
      <w:pPr>
        <w:spacing w:before="40" w:after="40"/>
      </w:pPr>
      <w:r>
        <w:rPr>
          <w:color w:val="4A5568"/>
        </w:rPr>
        <w:t>This bridge capital is purpose-built to collapse timelines and drive transformative unit economics across the platform:</w:t>
      </w:r>
    </w:p>
    <w:p w14:paraId="7A8280F6" w14:textId="77777777" w:rsidR="00882FA1" w:rsidRDefault="00000000">
      <w:pPr>
        <w:spacing w:before="40" w:after="40"/>
      </w:pPr>
      <w:proofErr w:type="spellStart"/>
      <w:r>
        <w:rPr>
          <w:b/>
          <w:bCs/>
          <w:color w:val="0D2137"/>
        </w:rPr>
        <w:t>MyBreathPrint</w:t>
      </w:r>
      <w:proofErr w:type="spellEnd"/>
      <w:r>
        <w:rPr>
          <w:b/>
          <w:bCs/>
          <w:color w:val="0D2137"/>
        </w:rPr>
        <w:t xml:space="preserve">® Hardware Acceleration: </w:t>
      </w:r>
      <w:r>
        <w:rPr>
          <w:color w:val="4A5568"/>
        </w:rPr>
        <w:t>Fast-track the transition from the current $700-per-unit prototype to a mass-manufacturable ASIC-based design at approximately $6 per unit — a 100x cost reduction that unlocks population-scale deployment and fundamentally changes the economics of non-invasive diagnostics.</w:t>
      </w:r>
    </w:p>
    <w:p w14:paraId="7B9A4E35" w14:textId="77777777" w:rsidR="00882FA1" w:rsidRDefault="00000000">
      <w:pPr>
        <w:spacing w:before="40" w:after="40"/>
      </w:pPr>
      <w:proofErr w:type="spellStart"/>
      <w:r>
        <w:rPr>
          <w:b/>
          <w:bCs/>
          <w:color w:val="0D2137"/>
        </w:rPr>
        <w:t>Oncodea</w:t>
      </w:r>
      <w:proofErr w:type="spellEnd"/>
      <w:r>
        <w:rPr>
          <w:b/>
          <w:bCs/>
          <w:color w:val="0D2137"/>
        </w:rPr>
        <w:t xml:space="preserve"> Manufacturing Scale: </w:t>
      </w:r>
      <w:r>
        <w:rPr>
          <w:color w:val="4A5568"/>
        </w:rPr>
        <w:t>Fund the production of dozens of molecular fingerprinting units at approximately $30K each, while simultaneously driving down per-unit costs and expanding classification capabilities across additional cancer types.</w:t>
      </w:r>
    </w:p>
    <w:p w14:paraId="69B7449B" w14:textId="77777777" w:rsidR="00882FA1" w:rsidRDefault="00000000">
      <w:pPr>
        <w:spacing w:before="40" w:after="40"/>
      </w:pPr>
      <w:r>
        <w:rPr>
          <w:b/>
          <w:bCs/>
          <w:color w:val="0D2137"/>
        </w:rPr>
        <w:t xml:space="preserve">RealBusiness.AI Intelligence Engine: </w:t>
      </w:r>
      <w:r>
        <w:rPr>
          <w:color w:val="4A5568"/>
        </w:rPr>
        <w:t>Invest in uncovering deep patient behavior patterns and disease signal intelligence across the 100K+ contracted patient population — building the proprietary data moat that makes the platform increasingly valuable with every patient interaction.</w:t>
      </w:r>
    </w:p>
    <w:p w14:paraId="36CFEA2A" w14:textId="77777777" w:rsidR="00882FA1" w:rsidRDefault="00882FA1">
      <w:pPr>
        <w:spacing w:before="60"/>
      </w:pPr>
    </w:p>
    <w:p w14:paraId="615730C3" w14:textId="77777777" w:rsidR="00882FA1" w:rsidRDefault="00000000">
      <w:pPr>
        <w:spacing w:before="200" w:after="60"/>
      </w:pPr>
      <w:r>
        <w:rPr>
          <w:rFonts w:ascii="Georgia" w:eastAsia="Georgia" w:hAnsi="Georgia" w:cs="Georgia"/>
          <w:b/>
          <w:bCs/>
          <w:color w:val="0A7E8C"/>
          <w:sz w:val="22"/>
          <w:szCs w:val="22"/>
        </w:rPr>
        <w:t>6-MONTH DEPLOYMENT ROADMAP</w:t>
      </w:r>
    </w:p>
    <w:p w14:paraId="68F68B12" w14:textId="77777777" w:rsidR="00882FA1" w:rsidRDefault="00000000">
      <w:pPr>
        <w:spacing w:before="40" w:after="40"/>
      </w:pPr>
      <w:r>
        <w:rPr>
          <w:color w:val="4A5568"/>
        </w:rPr>
        <w:t>Month 1–2: Incorporate, execute agreements, deploy capital, begin tech integration and clinical site onboarding. Month 3–4: Enroll 10K–50K patients, first breath + blood samples collected, D2C campaigns live, AI model training begins. Month 5–6: Clinical data analysis complete, regulatory filings submitted, proof-of-concept compiled, Series A roadshow launched.</w:t>
      </w:r>
    </w:p>
    <w:p w14:paraId="55421066" w14:textId="77777777" w:rsidR="00882FA1" w:rsidRDefault="00882FA1">
      <w:pPr>
        <w:spacing w:before="80"/>
      </w:pPr>
    </w:p>
    <w:p w14:paraId="627BF13E" w14:textId="77777777" w:rsidR="00882FA1" w:rsidRDefault="00000000">
      <w:pPr>
        <w:pBdr>
          <w:top w:val="single" w:sz="4" w:space="4" w:color="0A7E8C"/>
          <w:bottom w:val="single" w:sz="4" w:space="4" w:color="0A7E8C"/>
        </w:pBdr>
        <w:spacing w:before="60" w:after="60"/>
        <w:jc w:val="center"/>
      </w:pPr>
      <w:proofErr w:type="gramStart"/>
      <w:r>
        <w:rPr>
          <w:rFonts w:ascii="Georgia" w:eastAsia="Georgia" w:hAnsi="Georgia" w:cs="Georgia"/>
          <w:b/>
          <w:bCs/>
          <w:color w:val="0D2137"/>
          <w:sz w:val="22"/>
          <w:szCs w:val="22"/>
        </w:rPr>
        <w:t>The technology</w:t>
      </w:r>
      <w:proofErr w:type="gramEnd"/>
      <w:r>
        <w:rPr>
          <w:rFonts w:ascii="Georgia" w:eastAsia="Georgia" w:hAnsi="Georgia" w:cs="Georgia"/>
          <w:b/>
          <w:bCs/>
          <w:color w:val="0D2137"/>
          <w:sz w:val="22"/>
          <w:szCs w:val="22"/>
        </w:rPr>
        <w:t xml:space="preserve"> exists. </w:t>
      </w:r>
      <w:proofErr w:type="gramStart"/>
      <w:r>
        <w:rPr>
          <w:rFonts w:ascii="Georgia" w:eastAsia="Georgia" w:hAnsi="Georgia" w:cs="Georgia"/>
          <w:b/>
          <w:bCs/>
          <w:color w:val="0D2137"/>
          <w:sz w:val="22"/>
          <w:szCs w:val="22"/>
        </w:rPr>
        <w:t>The patients</w:t>
      </w:r>
      <w:proofErr w:type="gramEnd"/>
      <w:r>
        <w:rPr>
          <w:rFonts w:ascii="Georgia" w:eastAsia="Georgia" w:hAnsi="Georgia" w:cs="Georgia"/>
          <w:b/>
          <w:bCs/>
          <w:color w:val="0D2137"/>
          <w:sz w:val="22"/>
          <w:szCs w:val="22"/>
        </w:rPr>
        <w:t xml:space="preserve"> exist. The infrastructure exists.</w:t>
      </w:r>
    </w:p>
    <w:p w14:paraId="47E2CFB5" w14:textId="77777777" w:rsidR="00882FA1" w:rsidRDefault="00000000">
      <w:pPr>
        <w:spacing w:before="20"/>
        <w:jc w:val="center"/>
      </w:pPr>
      <w:r>
        <w:rPr>
          <w:rFonts w:ascii="Georgia" w:eastAsia="Georgia" w:hAnsi="Georgia" w:cs="Georgia"/>
          <w:i/>
          <w:iCs/>
          <w:color w:val="0A7E8C"/>
          <w:sz w:val="21"/>
          <w:szCs w:val="21"/>
        </w:rPr>
        <w:t>We are looking for aligned, long-term capital partners to re-center healthcare around the individual.</w:t>
      </w:r>
    </w:p>
    <w:p w14:paraId="63473A14" w14:textId="77777777" w:rsidR="00882FA1" w:rsidRDefault="00882FA1">
      <w:pPr>
        <w:sectPr w:rsidR="00882FA1">
          <w:headerReference w:type="default" r:id="rId10"/>
          <w:footerReference w:type="default" r:id="rId11"/>
          <w:pgSz w:w="12240" w:h="15840"/>
          <w:pgMar w:top="720" w:right="900" w:bottom="720" w:left="900" w:header="708" w:footer="708" w:gutter="0"/>
          <w:cols w:space="720"/>
          <w:docGrid w:linePitch="360"/>
        </w:sectPr>
      </w:pPr>
    </w:p>
    <w:p w14:paraId="3E8BFD9D" w14:textId="77777777" w:rsidR="00882FA1" w:rsidRDefault="00000000">
      <w:pPr>
        <w:spacing w:after="20"/>
      </w:pPr>
      <w:r>
        <w:rPr>
          <w:rFonts w:ascii="Georgia" w:eastAsia="Georgia" w:hAnsi="Georgia" w:cs="Georgia"/>
          <w:b/>
          <w:bCs/>
          <w:color w:val="0D2137"/>
          <w:sz w:val="40"/>
          <w:szCs w:val="40"/>
        </w:rPr>
        <w:lastRenderedPageBreak/>
        <w:t>THE INVESTMENT</w:t>
      </w:r>
    </w:p>
    <w:p w14:paraId="1B8D3C8A" w14:textId="77777777" w:rsidR="00882FA1" w:rsidRDefault="00000000">
      <w:pPr>
        <w:pBdr>
          <w:bottom w:val="single" w:sz="6" w:space="1" w:color="0A7E8C"/>
        </w:pBdr>
        <w:spacing w:after="60"/>
      </w:pPr>
      <w:r>
        <w:rPr>
          <w:rFonts w:ascii="Georgia" w:eastAsia="Georgia" w:hAnsi="Georgia" w:cs="Georgia"/>
          <w:i/>
          <w:iCs/>
          <w:color w:val="0A7E8C"/>
          <w:sz w:val="24"/>
          <w:szCs w:val="24"/>
        </w:rPr>
        <w:t>Bridge to Series A: Built for the Lead Investor</w:t>
      </w:r>
    </w:p>
    <w:p w14:paraId="14583F12" w14:textId="77777777" w:rsidR="00882FA1" w:rsidRDefault="00882FA1">
      <w:pPr>
        <w:spacing w:before="40"/>
      </w:pPr>
    </w:p>
    <w:p w14:paraId="18784D37" w14:textId="77777777" w:rsidR="00882FA1" w:rsidRDefault="00000000">
      <w:pPr>
        <w:spacing w:before="100" w:after="60"/>
      </w:pPr>
      <w:r>
        <w:rPr>
          <w:rFonts w:ascii="Georgia" w:eastAsia="Georgia" w:hAnsi="Georgia" w:cs="Georgia"/>
          <w:b/>
          <w:bCs/>
          <w:color w:val="0A7E8C"/>
          <w:sz w:val="22"/>
          <w:szCs w:val="22"/>
        </w:rPr>
        <w:t>BRIDGE ROUND TERMS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640"/>
      </w:tblGrid>
      <w:tr w:rsidR="00882FA1" w14:paraId="608F5408" w14:textId="77777777">
        <w:tc>
          <w:tcPr>
            <w:tcW w:w="3800" w:type="dxa"/>
            <w:tcBorders>
              <w:top w:val="single" w:sz="1" w:space="0" w:color="E2E8F0"/>
              <w:left w:val="single" w:sz="1" w:space="0" w:color="E2E8F0"/>
              <w:bottom w:val="single" w:sz="1" w:space="0" w:color="E2E8F0"/>
              <w:right w:val="single" w:sz="1" w:space="0" w:color="E2E8F0"/>
            </w:tcBorders>
            <w:shd w:val="clear" w:color="auto" w:fill="F4F8FA"/>
            <w:tcMar>
              <w:top w:w="50" w:type="dxa"/>
              <w:left w:w="140" w:type="dxa"/>
              <w:bottom w:w="50" w:type="dxa"/>
              <w:right w:w="120" w:type="dxa"/>
            </w:tcMar>
          </w:tcPr>
          <w:p w14:paraId="5A36E8E2" w14:textId="77777777" w:rsidR="00882FA1" w:rsidRDefault="00000000">
            <w:r>
              <w:rPr>
                <w:b/>
                <w:bCs/>
                <w:color w:val="0D2137"/>
              </w:rPr>
              <w:t>Instrument</w:t>
            </w:r>
          </w:p>
        </w:tc>
        <w:tc>
          <w:tcPr>
            <w:tcW w:w="6640" w:type="dxa"/>
            <w:tcBorders>
              <w:top w:val="single" w:sz="1" w:space="0" w:color="E2E8F0"/>
              <w:left w:val="single" w:sz="1" w:space="0" w:color="E2E8F0"/>
              <w:bottom w:val="single" w:sz="1" w:space="0" w:color="E2E8F0"/>
              <w:right w:val="single" w:sz="1" w:space="0" w:color="E2E8F0"/>
            </w:tcBorders>
            <w:shd w:val="clear" w:color="auto" w:fill="F4F8FA"/>
            <w:tcMar>
              <w:top w:w="50" w:type="dxa"/>
              <w:left w:w="140" w:type="dxa"/>
              <w:bottom w:w="50" w:type="dxa"/>
              <w:right w:w="120" w:type="dxa"/>
            </w:tcMar>
          </w:tcPr>
          <w:p w14:paraId="0790FEE5" w14:textId="77777777" w:rsidR="00882FA1" w:rsidRDefault="00000000">
            <w:r>
              <w:rPr>
                <w:color w:val="4A5568"/>
              </w:rPr>
              <w:t>SAFE / Convertible Note</w:t>
            </w:r>
          </w:p>
        </w:tc>
      </w:tr>
      <w:tr w:rsidR="00882FA1" w14:paraId="5683726F" w14:textId="77777777">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50" w:type="dxa"/>
              <w:left w:w="140" w:type="dxa"/>
              <w:bottom w:w="50" w:type="dxa"/>
              <w:right w:w="120" w:type="dxa"/>
            </w:tcMar>
          </w:tcPr>
          <w:p w14:paraId="7597A3A0" w14:textId="77777777" w:rsidR="00882FA1" w:rsidRDefault="00000000">
            <w:r>
              <w:rPr>
                <w:b/>
                <w:bCs/>
                <w:color w:val="0D2137"/>
              </w:rPr>
              <w:t>Bridge Raise</w:t>
            </w:r>
          </w:p>
        </w:tc>
        <w:tc>
          <w:tcPr>
            <w:tcW w:w="6640" w:type="dxa"/>
            <w:tcBorders>
              <w:top w:val="single" w:sz="1" w:space="0" w:color="E2E8F0"/>
              <w:left w:val="single" w:sz="1" w:space="0" w:color="E2E8F0"/>
              <w:bottom w:val="single" w:sz="1" w:space="0" w:color="E2E8F0"/>
              <w:right w:val="single" w:sz="1" w:space="0" w:color="E2E8F0"/>
            </w:tcBorders>
            <w:shd w:val="clear" w:color="auto" w:fill="FFFFFF"/>
            <w:tcMar>
              <w:top w:w="50" w:type="dxa"/>
              <w:left w:w="140" w:type="dxa"/>
              <w:bottom w:w="50" w:type="dxa"/>
              <w:right w:w="120" w:type="dxa"/>
            </w:tcMar>
          </w:tcPr>
          <w:p w14:paraId="556D2078" w14:textId="77777777" w:rsidR="00882FA1" w:rsidRDefault="00000000">
            <w:r>
              <w:rPr>
                <w:color w:val="4A5568"/>
              </w:rPr>
              <w:t>$10–20M</w:t>
            </w:r>
          </w:p>
        </w:tc>
      </w:tr>
      <w:tr w:rsidR="00882FA1" w14:paraId="350DB6A9" w14:textId="77777777">
        <w:tc>
          <w:tcPr>
            <w:tcW w:w="3800" w:type="dxa"/>
            <w:tcBorders>
              <w:top w:val="single" w:sz="1" w:space="0" w:color="E2E8F0"/>
              <w:left w:val="single" w:sz="1" w:space="0" w:color="E2E8F0"/>
              <w:bottom w:val="single" w:sz="1" w:space="0" w:color="E2E8F0"/>
              <w:right w:val="single" w:sz="1" w:space="0" w:color="E2E8F0"/>
            </w:tcBorders>
            <w:shd w:val="clear" w:color="auto" w:fill="F4F8FA"/>
            <w:tcMar>
              <w:top w:w="50" w:type="dxa"/>
              <w:left w:w="140" w:type="dxa"/>
              <w:bottom w:w="50" w:type="dxa"/>
              <w:right w:w="120" w:type="dxa"/>
            </w:tcMar>
          </w:tcPr>
          <w:p w14:paraId="0BC9FA2C" w14:textId="77777777" w:rsidR="00882FA1" w:rsidRDefault="00000000">
            <w:r>
              <w:rPr>
                <w:b/>
                <w:bCs/>
                <w:color w:val="0D2137"/>
              </w:rPr>
              <w:t>Pre-Money Valuation Cap</w:t>
            </w:r>
          </w:p>
        </w:tc>
        <w:tc>
          <w:tcPr>
            <w:tcW w:w="6640" w:type="dxa"/>
            <w:tcBorders>
              <w:top w:val="single" w:sz="1" w:space="0" w:color="E2E8F0"/>
              <w:left w:val="single" w:sz="1" w:space="0" w:color="E2E8F0"/>
              <w:bottom w:val="single" w:sz="1" w:space="0" w:color="E2E8F0"/>
              <w:right w:val="single" w:sz="1" w:space="0" w:color="E2E8F0"/>
            </w:tcBorders>
            <w:shd w:val="clear" w:color="auto" w:fill="F4F8FA"/>
            <w:tcMar>
              <w:top w:w="50" w:type="dxa"/>
              <w:left w:w="140" w:type="dxa"/>
              <w:bottom w:w="50" w:type="dxa"/>
              <w:right w:w="120" w:type="dxa"/>
            </w:tcMar>
          </w:tcPr>
          <w:p w14:paraId="5E8F2866" w14:textId="77777777" w:rsidR="00882FA1" w:rsidRDefault="00000000">
            <w:r>
              <w:rPr>
                <w:color w:val="4A5568"/>
              </w:rPr>
              <w:t>$100M</w:t>
            </w:r>
          </w:p>
        </w:tc>
      </w:tr>
      <w:tr w:rsidR="00882FA1" w14:paraId="2980A9E9" w14:textId="77777777">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50" w:type="dxa"/>
              <w:left w:w="140" w:type="dxa"/>
              <w:bottom w:w="50" w:type="dxa"/>
              <w:right w:w="120" w:type="dxa"/>
            </w:tcMar>
          </w:tcPr>
          <w:p w14:paraId="6A25308F" w14:textId="77777777" w:rsidR="00882FA1" w:rsidRDefault="00000000">
            <w:r>
              <w:rPr>
                <w:b/>
                <w:bCs/>
                <w:color w:val="0D2137"/>
              </w:rPr>
              <w:t>Discount to Series A</w:t>
            </w:r>
          </w:p>
        </w:tc>
        <w:tc>
          <w:tcPr>
            <w:tcW w:w="6640" w:type="dxa"/>
            <w:tcBorders>
              <w:top w:val="single" w:sz="1" w:space="0" w:color="E2E8F0"/>
              <w:left w:val="single" w:sz="1" w:space="0" w:color="E2E8F0"/>
              <w:bottom w:val="single" w:sz="1" w:space="0" w:color="E2E8F0"/>
              <w:right w:val="single" w:sz="1" w:space="0" w:color="E2E8F0"/>
            </w:tcBorders>
            <w:shd w:val="clear" w:color="auto" w:fill="FFFFFF"/>
            <w:tcMar>
              <w:top w:w="50" w:type="dxa"/>
              <w:left w:w="140" w:type="dxa"/>
              <w:bottom w:w="50" w:type="dxa"/>
              <w:right w:w="120" w:type="dxa"/>
            </w:tcMar>
          </w:tcPr>
          <w:p w14:paraId="2FC4BC83" w14:textId="77777777" w:rsidR="00882FA1" w:rsidRDefault="00000000">
            <w:r>
              <w:rPr>
                <w:color w:val="4A5568"/>
              </w:rPr>
              <w:t>20%</w:t>
            </w:r>
          </w:p>
        </w:tc>
      </w:tr>
      <w:tr w:rsidR="00882FA1" w14:paraId="35B5A0DC" w14:textId="77777777">
        <w:tc>
          <w:tcPr>
            <w:tcW w:w="3800" w:type="dxa"/>
            <w:tcBorders>
              <w:top w:val="single" w:sz="1" w:space="0" w:color="E2E8F0"/>
              <w:left w:val="single" w:sz="1" w:space="0" w:color="E2E8F0"/>
              <w:bottom w:val="single" w:sz="1" w:space="0" w:color="E2E8F0"/>
              <w:right w:val="single" w:sz="1" w:space="0" w:color="E2E8F0"/>
            </w:tcBorders>
            <w:shd w:val="clear" w:color="auto" w:fill="F4F8FA"/>
            <w:tcMar>
              <w:top w:w="50" w:type="dxa"/>
              <w:left w:w="140" w:type="dxa"/>
              <w:bottom w:w="50" w:type="dxa"/>
              <w:right w:w="120" w:type="dxa"/>
            </w:tcMar>
          </w:tcPr>
          <w:p w14:paraId="48030B96" w14:textId="77777777" w:rsidR="00882FA1" w:rsidRDefault="00000000">
            <w:r>
              <w:rPr>
                <w:b/>
                <w:bCs/>
                <w:color w:val="0D2137"/>
              </w:rPr>
              <w:t>Series A Target Valuation</w:t>
            </w:r>
          </w:p>
        </w:tc>
        <w:tc>
          <w:tcPr>
            <w:tcW w:w="6640" w:type="dxa"/>
            <w:tcBorders>
              <w:top w:val="single" w:sz="1" w:space="0" w:color="E2E8F0"/>
              <w:left w:val="single" w:sz="1" w:space="0" w:color="E2E8F0"/>
              <w:bottom w:val="single" w:sz="1" w:space="0" w:color="E2E8F0"/>
              <w:right w:val="single" w:sz="1" w:space="0" w:color="E2E8F0"/>
            </w:tcBorders>
            <w:shd w:val="clear" w:color="auto" w:fill="F4F8FA"/>
            <w:tcMar>
              <w:top w:w="50" w:type="dxa"/>
              <w:left w:w="140" w:type="dxa"/>
              <w:bottom w:w="50" w:type="dxa"/>
              <w:right w:w="120" w:type="dxa"/>
            </w:tcMar>
          </w:tcPr>
          <w:p w14:paraId="37E05F52" w14:textId="77777777" w:rsidR="00882FA1" w:rsidRDefault="00000000">
            <w:r>
              <w:rPr>
                <w:color w:val="4A5568"/>
              </w:rPr>
              <w:t>$500M+</w:t>
            </w:r>
          </w:p>
        </w:tc>
      </w:tr>
      <w:tr w:rsidR="00882FA1" w14:paraId="31A62522" w14:textId="77777777">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50" w:type="dxa"/>
              <w:left w:w="140" w:type="dxa"/>
              <w:bottom w:w="50" w:type="dxa"/>
              <w:right w:w="120" w:type="dxa"/>
            </w:tcMar>
          </w:tcPr>
          <w:p w14:paraId="13E8EA1F" w14:textId="77777777" w:rsidR="00882FA1" w:rsidRDefault="00000000">
            <w:r>
              <w:rPr>
                <w:b/>
                <w:bCs/>
                <w:color w:val="0D2137"/>
              </w:rPr>
              <w:t>Series A Timeline</w:t>
            </w:r>
          </w:p>
        </w:tc>
        <w:tc>
          <w:tcPr>
            <w:tcW w:w="6640" w:type="dxa"/>
            <w:tcBorders>
              <w:top w:val="single" w:sz="1" w:space="0" w:color="E2E8F0"/>
              <w:left w:val="single" w:sz="1" w:space="0" w:color="E2E8F0"/>
              <w:bottom w:val="single" w:sz="1" w:space="0" w:color="E2E8F0"/>
              <w:right w:val="single" w:sz="1" w:space="0" w:color="E2E8F0"/>
            </w:tcBorders>
            <w:shd w:val="clear" w:color="auto" w:fill="FFFFFF"/>
            <w:tcMar>
              <w:top w:w="50" w:type="dxa"/>
              <w:left w:w="140" w:type="dxa"/>
              <w:bottom w:w="50" w:type="dxa"/>
              <w:right w:w="120" w:type="dxa"/>
            </w:tcMar>
          </w:tcPr>
          <w:p w14:paraId="696A64B3" w14:textId="77777777" w:rsidR="00882FA1" w:rsidRDefault="00000000">
            <w:r>
              <w:rPr>
                <w:color w:val="4A5568"/>
              </w:rPr>
              <w:t>6–9 months post-bridge close</w:t>
            </w:r>
          </w:p>
        </w:tc>
      </w:tr>
      <w:tr w:rsidR="00882FA1" w14:paraId="5A5A5213" w14:textId="77777777">
        <w:tc>
          <w:tcPr>
            <w:tcW w:w="3800" w:type="dxa"/>
            <w:tcBorders>
              <w:top w:val="single" w:sz="1" w:space="0" w:color="E2E8F0"/>
              <w:left w:val="single" w:sz="1" w:space="0" w:color="E2E8F0"/>
              <w:bottom w:val="single" w:sz="1" w:space="0" w:color="E2E8F0"/>
              <w:right w:val="single" w:sz="1" w:space="0" w:color="E2E8F0"/>
            </w:tcBorders>
            <w:shd w:val="clear" w:color="auto" w:fill="F4F8FA"/>
            <w:tcMar>
              <w:top w:w="50" w:type="dxa"/>
              <w:left w:w="140" w:type="dxa"/>
              <w:bottom w:w="50" w:type="dxa"/>
              <w:right w:w="120" w:type="dxa"/>
            </w:tcMar>
          </w:tcPr>
          <w:p w14:paraId="4DEB57BA" w14:textId="77777777" w:rsidR="00882FA1" w:rsidRDefault="00000000">
            <w:r>
              <w:rPr>
                <w:b/>
                <w:bCs/>
                <w:color w:val="0D2137"/>
              </w:rPr>
              <w:t>2026 Revenue Visibility</w:t>
            </w:r>
          </w:p>
        </w:tc>
        <w:tc>
          <w:tcPr>
            <w:tcW w:w="6640" w:type="dxa"/>
            <w:tcBorders>
              <w:top w:val="single" w:sz="1" w:space="0" w:color="E2E8F0"/>
              <w:left w:val="single" w:sz="1" w:space="0" w:color="E2E8F0"/>
              <w:bottom w:val="single" w:sz="1" w:space="0" w:color="E2E8F0"/>
              <w:right w:val="single" w:sz="1" w:space="0" w:color="E2E8F0"/>
            </w:tcBorders>
            <w:shd w:val="clear" w:color="auto" w:fill="F4F8FA"/>
            <w:tcMar>
              <w:top w:w="50" w:type="dxa"/>
              <w:left w:w="140" w:type="dxa"/>
              <w:bottom w:w="50" w:type="dxa"/>
              <w:right w:w="120" w:type="dxa"/>
            </w:tcMar>
          </w:tcPr>
          <w:p w14:paraId="58915442" w14:textId="77777777" w:rsidR="00882FA1" w:rsidRDefault="00000000">
            <w:r>
              <w:rPr>
                <w:color w:val="4A5568"/>
              </w:rPr>
              <w:t>$5M+ minimum</w:t>
            </w:r>
          </w:p>
        </w:tc>
      </w:tr>
    </w:tbl>
    <w:p w14:paraId="560B8488" w14:textId="77777777" w:rsidR="00882FA1" w:rsidRDefault="00882FA1">
      <w:pPr>
        <w:spacing w:before="40"/>
      </w:pPr>
    </w:p>
    <w:p w14:paraId="12E84940" w14:textId="77777777" w:rsidR="00882FA1" w:rsidRDefault="00000000">
      <w:pPr>
        <w:spacing w:before="120" w:after="60"/>
      </w:pPr>
      <w:r>
        <w:rPr>
          <w:rFonts w:ascii="Georgia" w:eastAsia="Georgia" w:hAnsi="Georgia" w:cs="Georgia"/>
          <w:b/>
          <w:bCs/>
          <w:color w:val="0A7E8C"/>
          <w:sz w:val="22"/>
          <w:szCs w:val="22"/>
        </w:rPr>
        <w:t>WHY THIS BRIDGE CREATES OUTSIZED VALUE</w:t>
      </w:r>
    </w:p>
    <w:p w14:paraId="744EC8AE" w14:textId="77777777" w:rsidR="00882FA1" w:rsidRDefault="00000000">
      <w:pPr>
        <w:spacing w:before="40" w:after="40"/>
      </w:pPr>
      <w:r>
        <w:rPr>
          <w:color w:val="4A5568"/>
        </w:rPr>
        <w:t>This is not a sustaining round. This is the capital that collapses the cost curve, proves the clinical signal at scale, and positions Person Health for a $500M+ institutional Series A within 6–9 months. Bridge investors are buying into a company with an existing revenue relationship, 100K+ contracted patients, proprietary multi-modal diagnostics, and a team that has commercialized FDA-regulated technologies at global scale — all at a $100M pre-money valuation, before the inflection point.</w:t>
      </w:r>
    </w:p>
    <w:p w14:paraId="0D75B067" w14:textId="77777777" w:rsidR="00882FA1" w:rsidRDefault="00882FA1">
      <w:pPr>
        <w:spacing w:before="40"/>
      </w:pPr>
    </w:p>
    <w:p w14:paraId="76FD1630" w14:textId="77777777" w:rsidR="00882FA1" w:rsidRDefault="00000000">
      <w:pPr>
        <w:spacing w:before="120" w:after="60"/>
      </w:pPr>
      <w:r>
        <w:rPr>
          <w:rFonts w:ascii="Georgia" w:eastAsia="Georgia" w:hAnsi="Georgia" w:cs="Georgia"/>
          <w:b/>
          <w:bCs/>
          <w:color w:val="0A7E8C"/>
          <w:sz w:val="22"/>
          <w:szCs w:val="22"/>
        </w:rPr>
        <w:t>BRIDGE INVESTOR ADVANTAGES</w:t>
      </w:r>
    </w:p>
    <w:p w14:paraId="6649272C" w14:textId="77777777" w:rsidR="00882FA1" w:rsidRDefault="00000000">
      <w:pPr>
        <w:spacing w:before="80" w:after="20"/>
      </w:pPr>
      <w:proofErr w:type="gramStart"/>
      <w:r>
        <w:rPr>
          <w:rFonts w:ascii="Georgia" w:eastAsia="Georgia" w:hAnsi="Georgia" w:cs="Georgia"/>
          <w:b/>
          <w:bCs/>
          <w:color w:val="0A7E8C"/>
          <w:sz w:val="28"/>
          <w:szCs w:val="28"/>
        </w:rPr>
        <w:t xml:space="preserve">01  </w:t>
      </w:r>
      <w:r>
        <w:rPr>
          <w:rFonts w:ascii="Georgia" w:eastAsia="Georgia" w:hAnsi="Georgia" w:cs="Georgia"/>
          <w:b/>
          <w:bCs/>
          <w:color w:val="0D2137"/>
          <w:sz w:val="21"/>
          <w:szCs w:val="21"/>
        </w:rPr>
        <w:t>Priority</w:t>
      </w:r>
      <w:proofErr w:type="gramEnd"/>
      <w:r>
        <w:rPr>
          <w:rFonts w:ascii="Georgia" w:eastAsia="Georgia" w:hAnsi="Georgia" w:cs="Georgia"/>
          <w:b/>
          <w:bCs/>
          <w:color w:val="0D2137"/>
          <w:sz w:val="21"/>
          <w:szCs w:val="21"/>
        </w:rPr>
        <w:t xml:space="preserve"> Position to Lead the Series A</w:t>
      </w:r>
    </w:p>
    <w:p w14:paraId="1F70A704" w14:textId="77777777" w:rsidR="00882FA1" w:rsidRDefault="00000000">
      <w:pPr>
        <w:spacing w:after="20"/>
        <w:ind w:left="420"/>
      </w:pPr>
      <w:r>
        <w:rPr>
          <w:color w:val="4A5568"/>
          <w:sz w:val="19"/>
          <w:szCs w:val="19"/>
        </w:rPr>
        <w:t>Bridge participants are positioned first in line to take the lead investor role in the institutional Series A round. This is a deliberate structural advantage — the bridge is designed to identify and align the long-term capital partner who will anchor the next phase of growth at a $500M+ valuation.</w:t>
      </w:r>
    </w:p>
    <w:p w14:paraId="3FC40ABC" w14:textId="77777777" w:rsidR="00882FA1" w:rsidRDefault="00000000">
      <w:pPr>
        <w:spacing w:before="80" w:after="20"/>
      </w:pPr>
      <w:proofErr w:type="gramStart"/>
      <w:r>
        <w:rPr>
          <w:rFonts w:ascii="Georgia" w:eastAsia="Georgia" w:hAnsi="Georgia" w:cs="Georgia"/>
          <w:b/>
          <w:bCs/>
          <w:color w:val="0A7E8C"/>
          <w:sz w:val="28"/>
          <w:szCs w:val="28"/>
        </w:rPr>
        <w:t xml:space="preserve">02  </w:t>
      </w:r>
      <w:r>
        <w:rPr>
          <w:rFonts w:ascii="Georgia" w:eastAsia="Georgia" w:hAnsi="Georgia" w:cs="Georgia"/>
          <w:b/>
          <w:bCs/>
          <w:color w:val="0D2137"/>
          <w:sz w:val="21"/>
          <w:szCs w:val="21"/>
        </w:rPr>
        <w:t>5</w:t>
      </w:r>
      <w:proofErr w:type="gramEnd"/>
      <w:r>
        <w:rPr>
          <w:rFonts w:ascii="Georgia" w:eastAsia="Georgia" w:hAnsi="Georgia" w:cs="Georgia"/>
          <w:b/>
          <w:bCs/>
          <w:color w:val="0D2137"/>
          <w:sz w:val="21"/>
          <w:szCs w:val="21"/>
        </w:rPr>
        <w:t>x+ Valuation Step-Up Opportunity</w:t>
      </w:r>
    </w:p>
    <w:p w14:paraId="5EDCB6AC" w14:textId="77777777" w:rsidR="00882FA1" w:rsidRDefault="00000000">
      <w:pPr>
        <w:spacing w:after="20"/>
        <w:ind w:left="420"/>
      </w:pPr>
      <w:r>
        <w:rPr>
          <w:color w:val="4A5568"/>
          <w:sz w:val="19"/>
          <w:szCs w:val="19"/>
        </w:rPr>
        <w:t>Entering at a $100M pre-money cap with a 20% discount, bridge investors are positioned ahead of a Series A expected to value the company at $500M or more — representing a potential 5x+ step-up in valuation within 6–9 months as clinical proof, manufacturing scale, and revenue milestones are achieved.</w:t>
      </w:r>
    </w:p>
    <w:p w14:paraId="5458BF4C" w14:textId="77777777" w:rsidR="00882FA1" w:rsidRDefault="00000000">
      <w:pPr>
        <w:spacing w:before="80" w:after="20"/>
      </w:pPr>
      <w:proofErr w:type="gramStart"/>
      <w:r>
        <w:rPr>
          <w:rFonts w:ascii="Georgia" w:eastAsia="Georgia" w:hAnsi="Georgia" w:cs="Georgia"/>
          <w:b/>
          <w:bCs/>
          <w:color w:val="0A7E8C"/>
          <w:sz w:val="28"/>
          <w:szCs w:val="28"/>
        </w:rPr>
        <w:t xml:space="preserve">03  </w:t>
      </w:r>
      <w:r>
        <w:rPr>
          <w:rFonts w:ascii="Georgia" w:eastAsia="Georgia" w:hAnsi="Georgia" w:cs="Georgia"/>
          <w:b/>
          <w:bCs/>
          <w:color w:val="0D2137"/>
          <w:sz w:val="21"/>
          <w:szCs w:val="21"/>
        </w:rPr>
        <w:t>Capital</w:t>
      </w:r>
      <w:proofErr w:type="gramEnd"/>
      <w:r>
        <w:rPr>
          <w:rFonts w:ascii="Georgia" w:eastAsia="Georgia" w:hAnsi="Georgia" w:cs="Georgia"/>
          <w:b/>
          <w:bCs/>
          <w:color w:val="0D2137"/>
          <w:sz w:val="21"/>
          <w:szCs w:val="21"/>
        </w:rPr>
        <w:t xml:space="preserve"> Deployed </w:t>
      </w:r>
      <w:proofErr w:type="gramStart"/>
      <w:r>
        <w:rPr>
          <w:rFonts w:ascii="Georgia" w:eastAsia="Georgia" w:hAnsi="Georgia" w:cs="Georgia"/>
          <w:b/>
          <w:bCs/>
          <w:color w:val="0D2137"/>
          <w:sz w:val="21"/>
          <w:szCs w:val="21"/>
        </w:rPr>
        <w:t>Into</w:t>
      </w:r>
      <w:proofErr w:type="gramEnd"/>
      <w:r>
        <w:rPr>
          <w:rFonts w:ascii="Georgia" w:eastAsia="Georgia" w:hAnsi="Georgia" w:cs="Georgia"/>
          <w:b/>
          <w:bCs/>
          <w:color w:val="0D2137"/>
          <w:sz w:val="21"/>
          <w:szCs w:val="21"/>
        </w:rPr>
        <w:t xml:space="preserve"> Tangible, De-Risking Milestones</w:t>
      </w:r>
    </w:p>
    <w:p w14:paraId="6BAFA624" w14:textId="77777777" w:rsidR="00882FA1" w:rsidRDefault="00000000">
      <w:pPr>
        <w:spacing w:after="20"/>
        <w:ind w:left="420"/>
      </w:pPr>
      <w:r>
        <w:rPr>
          <w:color w:val="4A5568"/>
          <w:sz w:val="19"/>
          <w:szCs w:val="19"/>
        </w:rPr>
        <w:t xml:space="preserve">Every dollar of bridge capital directly compresses risk: the </w:t>
      </w:r>
      <w:proofErr w:type="spellStart"/>
      <w:r>
        <w:rPr>
          <w:color w:val="4A5568"/>
          <w:sz w:val="19"/>
          <w:szCs w:val="19"/>
        </w:rPr>
        <w:t>MyBreathPrint</w:t>
      </w:r>
      <w:proofErr w:type="spellEnd"/>
      <w:r>
        <w:rPr>
          <w:color w:val="4A5568"/>
          <w:sz w:val="19"/>
          <w:szCs w:val="19"/>
        </w:rPr>
        <w:t xml:space="preserve">® cost reduction from $700 to $6 per unit unlocks mass deployment, </w:t>
      </w:r>
      <w:proofErr w:type="spellStart"/>
      <w:r>
        <w:rPr>
          <w:color w:val="4A5568"/>
          <w:sz w:val="19"/>
          <w:szCs w:val="19"/>
        </w:rPr>
        <w:t>Oncodea</w:t>
      </w:r>
      <w:proofErr w:type="spellEnd"/>
      <w:r>
        <w:rPr>
          <w:color w:val="4A5568"/>
          <w:sz w:val="19"/>
          <w:szCs w:val="19"/>
        </w:rPr>
        <w:t xml:space="preserve"> manufacturing scale proves multi-cancer readiness, and </w:t>
      </w:r>
      <w:proofErr w:type="spellStart"/>
      <w:r>
        <w:rPr>
          <w:color w:val="4A5568"/>
          <w:sz w:val="19"/>
          <w:szCs w:val="19"/>
        </w:rPr>
        <w:t>RealBusiness.AI’s</w:t>
      </w:r>
      <w:proofErr w:type="spellEnd"/>
      <w:r>
        <w:rPr>
          <w:color w:val="4A5568"/>
          <w:sz w:val="19"/>
          <w:szCs w:val="19"/>
        </w:rPr>
        <w:t xml:space="preserve"> patient intelligence engine builds the proprietary data moat. These are not soft milestones — they are engineering, manufacturing, and clinical proof points that institutional investors price into a Series A.</w:t>
      </w:r>
    </w:p>
    <w:p w14:paraId="4C85A39F" w14:textId="77777777" w:rsidR="00882FA1" w:rsidRDefault="00000000">
      <w:pPr>
        <w:spacing w:before="80" w:after="20"/>
      </w:pPr>
      <w:proofErr w:type="gramStart"/>
      <w:r>
        <w:rPr>
          <w:rFonts w:ascii="Georgia" w:eastAsia="Georgia" w:hAnsi="Georgia" w:cs="Georgia"/>
          <w:b/>
          <w:bCs/>
          <w:color w:val="0A7E8C"/>
          <w:sz w:val="28"/>
          <w:szCs w:val="28"/>
        </w:rPr>
        <w:t xml:space="preserve">04  </w:t>
      </w:r>
      <w:r>
        <w:rPr>
          <w:rFonts w:ascii="Georgia" w:eastAsia="Georgia" w:hAnsi="Georgia" w:cs="Georgia"/>
          <w:b/>
          <w:bCs/>
          <w:color w:val="0D2137"/>
          <w:sz w:val="21"/>
          <w:szCs w:val="21"/>
        </w:rPr>
        <w:t>Asymmetric</w:t>
      </w:r>
      <w:proofErr w:type="gramEnd"/>
      <w:r>
        <w:rPr>
          <w:rFonts w:ascii="Georgia" w:eastAsia="Georgia" w:hAnsi="Georgia" w:cs="Georgia"/>
          <w:b/>
          <w:bCs/>
          <w:color w:val="0D2137"/>
          <w:sz w:val="21"/>
          <w:szCs w:val="21"/>
        </w:rPr>
        <w:t xml:space="preserve"> Risk-Reward Profile</w:t>
      </w:r>
    </w:p>
    <w:p w14:paraId="3DE2DE02" w14:textId="77777777" w:rsidR="00882FA1" w:rsidRDefault="00000000">
      <w:pPr>
        <w:spacing w:after="20"/>
        <w:ind w:left="420"/>
      </w:pPr>
      <w:r>
        <w:rPr>
          <w:color w:val="4A5568"/>
          <w:sz w:val="19"/>
          <w:szCs w:val="19"/>
        </w:rPr>
        <w:t>The core technologies are proven (40+ patents, 98% accuracy, Mayo Clinic collaboration). The lab infrastructure is operational and revenue-generating through an exclusive partnership. 100K+ patients are contracted. The bridge doesn’t fund invention — it funds the acceleration of assets that already work into a platform that scales nationally.</w:t>
      </w:r>
    </w:p>
    <w:p w14:paraId="436BC4FF" w14:textId="77777777" w:rsidR="00882FA1" w:rsidRDefault="00882FA1">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882FA1" w14:paraId="5FCFAFCE" w14:textId="77777777">
        <w:tc>
          <w:tcPr>
            <w:tcW w:w="10440" w:type="dxa"/>
            <w:tcBorders>
              <w:top w:val="none" w:sz="0" w:space="0" w:color="FFFFFF"/>
              <w:left w:val="none" w:sz="0" w:space="0" w:color="FFFFFF"/>
              <w:bottom w:val="none" w:sz="0" w:space="0" w:color="FFFFFF"/>
              <w:right w:val="none" w:sz="0" w:space="0" w:color="FFFFFF"/>
            </w:tcBorders>
            <w:shd w:val="clear" w:color="auto" w:fill="0D2137"/>
            <w:tcMar>
              <w:top w:w="120" w:type="dxa"/>
              <w:left w:w="300" w:type="dxa"/>
              <w:bottom w:w="120" w:type="dxa"/>
              <w:right w:w="300" w:type="dxa"/>
            </w:tcMar>
            <w:vAlign w:val="center"/>
          </w:tcPr>
          <w:p w14:paraId="1871556A" w14:textId="77777777" w:rsidR="00882FA1" w:rsidRDefault="00000000">
            <w:pPr>
              <w:spacing w:after="80"/>
              <w:jc w:val="center"/>
            </w:pPr>
            <w:r>
              <w:rPr>
                <w:rFonts w:ascii="Georgia" w:eastAsia="Georgia" w:hAnsi="Georgia" w:cs="Georgia"/>
                <w:b/>
                <w:bCs/>
                <w:color w:val="1BA3B4"/>
                <w:sz w:val="26"/>
                <w:szCs w:val="26"/>
              </w:rPr>
              <w:t xml:space="preserve">Lead the bridge. Lead </w:t>
            </w:r>
            <w:proofErr w:type="gramStart"/>
            <w:r>
              <w:rPr>
                <w:rFonts w:ascii="Georgia" w:eastAsia="Georgia" w:hAnsi="Georgia" w:cs="Georgia"/>
                <w:b/>
                <w:bCs/>
                <w:color w:val="1BA3B4"/>
                <w:sz w:val="26"/>
                <w:szCs w:val="26"/>
              </w:rPr>
              <w:t>the Series</w:t>
            </w:r>
            <w:proofErr w:type="gramEnd"/>
            <w:r>
              <w:rPr>
                <w:rFonts w:ascii="Georgia" w:eastAsia="Georgia" w:hAnsi="Georgia" w:cs="Georgia"/>
                <w:b/>
                <w:bCs/>
                <w:color w:val="1BA3B4"/>
                <w:sz w:val="26"/>
                <w:szCs w:val="26"/>
              </w:rPr>
              <w:t xml:space="preserve"> A. Lead the future of healthcare.</w:t>
            </w:r>
          </w:p>
          <w:p w14:paraId="4EE670C4" w14:textId="77777777" w:rsidR="00882FA1" w:rsidRDefault="00000000">
            <w:pPr>
              <w:spacing w:after="60"/>
              <w:jc w:val="center"/>
            </w:pPr>
            <w:r>
              <w:rPr>
                <w:color w:val="B0C4D8"/>
              </w:rPr>
              <w:t>Person Health is offering a rare entry point: proven technology, real patients, real revenue, and a clear path to a $500M+ institutional round — with the bridge investor positioned to lead it.</w:t>
            </w:r>
          </w:p>
          <w:p w14:paraId="7980DDF3" w14:textId="77777777" w:rsidR="00882FA1" w:rsidRDefault="00000000">
            <w:pPr>
              <w:jc w:val="center"/>
            </w:pPr>
            <w:r>
              <w:rPr>
                <w:b/>
                <w:bCs/>
                <w:color w:val="FFFFFF"/>
              </w:rPr>
              <w:t xml:space="preserve">Ping Yeh, Chief Executive </w:t>
            </w:r>
            <w:proofErr w:type="gramStart"/>
            <w:r>
              <w:rPr>
                <w:b/>
                <w:bCs/>
                <w:color w:val="FFFFFF"/>
              </w:rPr>
              <w:t>Officer  |</w:t>
            </w:r>
            <w:proofErr w:type="gramEnd"/>
            <w:r>
              <w:rPr>
                <w:b/>
                <w:bCs/>
                <w:color w:val="FFFFFF"/>
              </w:rPr>
              <w:t xml:space="preserve">  Person Health, Inc.</w:t>
            </w:r>
          </w:p>
        </w:tc>
      </w:tr>
    </w:tbl>
    <w:p w14:paraId="3D986DD8" w14:textId="77777777" w:rsidR="00882FA1" w:rsidRDefault="00882FA1">
      <w:pPr>
        <w:spacing w:before="30"/>
      </w:pPr>
    </w:p>
    <w:p w14:paraId="1BBAC28D" w14:textId="77777777" w:rsidR="00882FA1" w:rsidRDefault="00000000">
      <w:pPr>
        <w:jc w:val="center"/>
      </w:pPr>
      <w:proofErr w:type="gramStart"/>
      <w:r>
        <w:rPr>
          <w:i/>
          <w:iCs/>
          <w:color w:val="94A3B8"/>
          <w:sz w:val="16"/>
          <w:szCs w:val="16"/>
        </w:rPr>
        <w:t>CONFIDENTIAL  —</w:t>
      </w:r>
      <w:proofErr w:type="gramEnd"/>
      <w:r>
        <w:rPr>
          <w:i/>
          <w:iCs/>
          <w:color w:val="94A3B8"/>
          <w:sz w:val="16"/>
          <w:szCs w:val="16"/>
        </w:rPr>
        <w:t xml:space="preserve">  For intended recipients only</w:t>
      </w:r>
    </w:p>
    <w:sectPr w:rsidR="00882FA1">
      <w:headerReference w:type="default" r:id="rId12"/>
      <w:footerReference w:type="default" r:id="rId13"/>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593F3" w14:textId="77777777" w:rsidR="00E758F7" w:rsidRDefault="00E758F7">
      <w:r>
        <w:separator/>
      </w:r>
    </w:p>
  </w:endnote>
  <w:endnote w:type="continuationSeparator" w:id="0">
    <w:p w14:paraId="64B81A9E" w14:textId="77777777" w:rsidR="00E758F7" w:rsidRDefault="00E75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DE47" w14:textId="77777777" w:rsidR="00882FA1" w:rsidRDefault="00000000">
    <w:pPr>
      <w:jc w:val="center"/>
    </w:pPr>
    <w:r>
      <w:rPr>
        <w:color w:val="94A3B8"/>
        <w:sz w:val="15"/>
        <w:szCs w:val="15"/>
      </w:rPr>
      <w:t xml:space="preserve">Person Health, Inc.  —  </w:t>
    </w:r>
    <w:proofErr w:type="gramStart"/>
    <w:r>
      <w:rPr>
        <w:color w:val="94A3B8"/>
        <w:sz w:val="15"/>
        <w:szCs w:val="15"/>
      </w:rPr>
      <w:t>Confidential  —</w:t>
    </w:r>
    <w:proofErr w:type="gramEnd"/>
    <w:r>
      <w:rPr>
        <w:color w:val="94A3B8"/>
        <w:sz w:val="15"/>
        <w:szCs w:val="15"/>
      </w:rPr>
      <w:t xml:space="preserve">  Page </w:t>
    </w:r>
    <w:r>
      <w:rPr>
        <w:color w:val="94A3B8"/>
        <w:sz w:val="15"/>
        <w:szCs w:val="15"/>
      </w:rPr>
      <w:fldChar w:fldCharType="begin"/>
    </w:r>
    <w:r>
      <w:rPr>
        <w:color w:val="94A3B8"/>
        <w:sz w:val="15"/>
        <w:szCs w:val="15"/>
      </w:rPr>
      <w:instrText>PAGE</w:instrText>
    </w:r>
    <w:r>
      <w:rPr>
        <w:color w:val="94A3B8"/>
        <w:sz w:val="15"/>
        <w:szCs w:val="15"/>
      </w:rPr>
      <w:fldChar w:fldCharType="separate"/>
    </w:r>
    <w:r w:rsidR="009B24DE">
      <w:rPr>
        <w:noProof/>
        <w:color w:val="94A3B8"/>
        <w:sz w:val="15"/>
        <w:szCs w:val="15"/>
      </w:rPr>
      <w:t>1</w:t>
    </w:r>
    <w:r>
      <w:rPr>
        <w:color w:val="94A3B8"/>
        <w:sz w:val="15"/>
        <w:szCs w:val="15"/>
      </w:rPr>
      <w:fldChar w:fldCharType="end"/>
    </w:r>
    <w:r>
      <w:rPr>
        <w:color w:val="94A3B8"/>
        <w:sz w:val="15"/>
        <w:szCs w:val="15"/>
      </w:rPr>
      <w:t xml:space="preserve"> of </w:t>
    </w:r>
    <w:r>
      <w:rPr>
        <w:color w:val="94A3B8"/>
        <w:sz w:val="15"/>
        <w:szCs w:val="15"/>
      </w:rPr>
      <w:fldChar w:fldCharType="begin"/>
    </w:r>
    <w:r>
      <w:rPr>
        <w:color w:val="94A3B8"/>
        <w:sz w:val="15"/>
        <w:szCs w:val="15"/>
      </w:rPr>
      <w:instrText>NUMPAGES</w:instrText>
    </w:r>
    <w:r>
      <w:rPr>
        <w:color w:val="94A3B8"/>
        <w:sz w:val="15"/>
        <w:szCs w:val="15"/>
      </w:rPr>
      <w:fldChar w:fldCharType="separate"/>
    </w:r>
    <w:r w:rsidR="009B24DE">
      <w:rPr>
        <w:noProof/>
        <w:color w:val="94A3B8"/>
        <w:sz w:val="15"/>
        <w:szCs w:val="15"/>
      </w:rPr>
      <w:t>2</w:t>
    </w:r>
    <w:r>
      <w:rPr>
        <w:color w:val="94A3B8"/>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25A8" w14:textId="77777777" w:rsidR="00882FA1" w:rsidRDefault="00000000">
    <w:pPr>
      <w:jc w:val="center"/>
    </w:pPr>
    <w:r>
      <w:rPr>
        <w:color w:val="94A3B8"/>
        <w:sz w:val="15"/>
        <w:szCs w:val="15"/>
      </w:rPr>
      <w:t xml:space="preserve">Person Health, Inc.  —  </w:t>
    </w:r>
    <w:proofErr w:type="gramStart"/>
    <w:r>
      <w:rPr>
        <w:color w:val="94A3B8"/>
        <w:sz w:val="15"/>
        <w:szCs w:val="15"/>
      </w:rPr>
      <w:t>Confidential  —</w:t>
    </w:r>
    <w:proofErr w:type="gramEnd"/>
    <w:r>
      <w:rPr>
        <w:color w:val="94A3B8"/>
        <w:sz w:val="15"/>
        <w:szCs w:val="15"/>
      </w:rPr>
      <w:t xml:space="preserve">  Page </w:t>
    </w:r>
    <w:r>
      <w:rPr>
        <w:color w:val="94A3B8"/>
        <w:sz w:val="15"/>
        <w:szCs w:val="15"/>
      </w:rPr>
      <w:fldChar w:fldCharType="begin"/>
    </w:r>
    <w:r>
      <w:rPr>
        <w:color w:val="94A3B8"/>
        <w:sz w:val="15"/>
        <w:szCs w:val="15"/>
      </w:rPr>
      <w:instrText>PAGE</w:instrText>
    </w:r>
    <w:r>
      <w:rPr>
        <w:color w:val="94A3B8"/>
        <w:sz w:val="15"/>
        <w:szCs w:val="15"/>
      </w:rPr>
      <w:fldChar w:fldCharType="separate"/>
    </w:r>
    <w:r w:rsidR="009B24DE">
      <w:rPr>
        <w:noProof/>
        <w:color w:val="94A3B8"/>
        <w:sz w:val="15"/>
        <w:szCs w:val="15"/>
      </w:rPr>
      <w:t>2</w:t>
    </w:r>
    <w:r>
      <w:rPr>
        <w:color w:val="94A3B8"/>
        <w:sz w:val="15"/>
        <w:szCs w:val="15"/>
      </w:rPr>
      <w:fldChar w:fldCharType="end"/>
    </w:r>
    <w:r>
      <w:rPr>
        <w:color w:val="94A3B8"/>
        <w:sz w:val="15"/>
        <w:szCs w:val="15"/>
      </w:rPr>
      <w:t xml:space="preserve"> of </w:t>
    </w:r>
    <w:r>
      <w:rPr>
        <w:color w:val="94A3B8"/>
        <w:sz w:val="15"/>
        <w:szCs w:val="15"/>
      </w:rPr>
      <w:fldChar w:fldCharType="begin"/>
    </w:r>
    <w:r>
      <w:rPr>
        <w:color w:val="94A3B8"/>
        <w:sz w:val="15"/>
        <w:szCs w:val="15"/>
      </w:rPr>
      <w:instrText>NUMPAGES</w:instrText>
    </w:r>
    <w:r>
      <w:rPr>
        <w:color w:val="94A3B8"/>
        <w:sz w:val="15"/>
        <w:szCs w:val="15"/>
      </w:rPr>
      <w:fldChar w:fldCharType="separate"/>
    </w:r>
    <w:r w:rsidR="009B24DE">
      <w:rPr>
        <w:noProof/>
        <w:color w:val="94A3B8"/>
        <w:sz w:val="15"/>
        <w:szCs w:val="15"/>
      </w:rPr>
      <w:t>3</w:t>
    </w:r>
    <w:r>
      <w:rPr>
        <w:color w:val="94A3B8"/>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8EE6" w14:textId="77777777" w:rsidR="00882FA1" w:rsidRDefault="00000000">
    <w:pPr>
      <w:jc w:val="center"/>
    </w:pPr>
    <w:r>
      <w:rPr>
        <w:color w:val="94A3B8"/>
        <w:sz w:val="15"/>
        <w:szCs w:val="15"/>
      </w:rPr>
      <w:t xml:space="preserve">Person Health, Inc.  —  </w:t>
    </w:r>
    <w:proofErr w:type="gramStart"/>
    <w:r>
      <w:rPr>
        <w:color w:val="94A3B8"/>
        <w:sz w:val="15"/>
        <w:szCs w:val="15"/>
      </w:rPr>
      <w:t>Confidential  —</w:t>
    </w:r>
    <w:proofErr w:type="gramEnd"/>
    <w:r>
      <w:rPr>
        <w:color w:val="94A3B8"/>
        <w:sz w:val="15"/>
        <w:szCs w:val="15"/>
      </w:rPr>
      <w:t xml:space="preserve">  Page </w:t>
    </w:r>
    <w:r>
      <w:rPr>
        <w:color w:val="94A3B8"/>
        <w:sz w:val="15"/>
        <w:szCs w:val="15"/>
      </w:rPr>
      <w:fldChar w:fldCharType="begin"/>
    </w:r>
    <w:r>
      <w:rPr>
        <w:color w:val="94A3B8"/>
        <w:sz w:val="15"/>
        <w:szCs w:val="15"/>
      </w:rPr>
      <w:instrText>PAGE</w:instrText>
    </w:r>
    <w:r>
      <w:rPr>
        <w:color w:val="94A3B8"/>
        <w:sz w:val="15"/>
        <w:szCs w:val="15"/>
      </w:rPr>
      <w:fldChar w:fldCharType="separate"/>
    </w:r>
    <w:r w:rsidR="009B24DE">
      <w:rPr>
        <w:noProof/>
        <w:color w:val="94A3B8"/>
        <w:sz w:val="15"/>
        <w:szCs w:val="15"/>
      </w:rPr>
      <w:t>3</w:t>
    </w:r>
    <w:r>
      <w:rPr>
        <w:color w:val="94A3B8"/>
        <w:sz w:val="15"/>
        <w:szCs w:val="15"/>
      </w:rPr>
      <w:fldChar w:fldCharType="end"/>
    </w:r>
    <w:r>
      <w:rPr>
        <w:color w:val="94A3B8"/>
        <w:sz w:val="15"/>
        <w:szCs w:val="15"/>
      </w:rPr>
      <w:t xml:space="preserve"> of </w:t>
    </w:r>
    <w:r>
      <w:rPr>
        <w:color w:val="94A3B8"/>
        <w:sz w:val="15"/>
        <w:szCs w:val="15"/>
      </w:rPr>
      <w:fldChar w:fldCharType="begin"/>
    </w:r>
    <w:r>
      <w:rPr>
        <w:color w:val="94A3B8"/>
        <w:sz w:val="15"/>
        <w:szCs w:val="15"/>
      </w:rPr>
      <w:instrText>NUMPAGES</w:instrText>
    </w:r>
    <w:r>
      <w:rPr>
        <w:color w:val="94A3B8"/>
        <w:sz w:val="15"/>
        <w:szCs w:val="15"/>
      </w:rPr>
      <w:fldChar w:fldCharType="separate"/>
    </w:r>
    <w:r w:rsidR="009B24DE">
      <w:rPr>
        <w:noProof/>
        <w:color w:val="94A3B8"/>
        <w:sz w:val="15"/>
        <w:szCs w:val="15"/>
      </w:rPr>
      <w:t>3</w:t>
    </w:r>
    <w:r>
      <w:rPr>
        <w:color w:val="94A3B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740C6" w14:textId="77777777" w:rsidR="00E758F7" w:rsidRDefault="00E758F7">
      <w:r>
        <w:separator/>
      </w:r>
    </w:p>
  </w:footnote>
  <w:footnote w:type="continuationSeparator" w:id="0">
    <w:p w14:paraId="08D60765" w14:textId="77777777" w:rsidR="00E758F7" w:rsidRDefault="00E75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950" w14:textId="77777777" w:rsidR="00882FA1" w:rsidRDefault="00000000">
    <w:r>
      <w:rPr>
        <w:rFonts w:ascii="Georgia" w:eastAsia="Georgia" w:hAnsi="Georgia" w:cs="Georgia"/>
        <w:b/>
        <w:bCs/>
        <w:color w:val="0A7E8C"/>
        <w:sz w:val="16"/>
        <w:szCs w:val="16"/>
      </w:rPr>
      <w:t>PERSON HEALTH, INC.</w:t>
    </w:r>
    <w:r>
      <w:rPr>
        <w:color w:val="94A3B8"/>
        <w:sz w:val="15"/>
        <w:szCs w:val="15"/>
      </w:rPr>
      <w:t xml:space="preserve">    |    CONFIDENTIAL    |    EXECUTIVE SUMMARY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5D6F" w14:textId="77777777" w:rsidR="00882FA1" w:rsidRDefault="00000000">
    <w:r>
      <w:rPr>
        <w:rFonts w:ascii="Georgia" w:eastAsia="Georgia" w:hAnsi="Georgia" w:cs="Georgia"/>
        <w:b/>
        <w:bCs/>
        <w:color w:val="0A7E8C"/>
        <w:sz w:val="16"/>
        <w:szCs w:val="16"/>
      </w:rPr>
      <w:t>PERSON HEALTH, INC.</w:t>
    </w:r>
    <w:r>
      <w:rPr>
        <w:color w:val="94A3B8"/>
        <w:sz w:val="15"/>
        <w:szCs w:val="15"/>
      </w:rPr>
      <w:t xml:space="preserve">    |    CONFIDENTIAL    |    EXECUTIVE SUMMARY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7265" w14:textId="77777777" w:rsidR="00882FA1" w:rsidRDefault="00000000">
    <w:r>
      <w:rPr>
        <w:rFonts w:ascii="Georgia" w:eastAsia="Georgia" w:hAnsi="Georgia" w:cs="Georgia"/>
        <w:b/>
        <w:bCs/>
        <w:color w:val="0A7E8C"/>
        <w:sz w:val="16"/>
        <w:szCs w:val="16"/>
      </w:rPr>
      <w:t>PERSON HEALTH, INC.</w:t>
    </w:r>
    <w:r>
      <w:rPr>
        <w:color w:val="94A3B8"/>
        <w:sz w:val="15"/>
        <w:szCs w:val="15"/>
      </w:rPr>
      <w:t xml:space="preserve">    |    CONFIDENTIAL    |    EXECUTIVE SUMMARY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97086"/>
    <w:multiLevelType w:val="hybridMultilevel"/>
    <w:tmpl w:val="0B9A5386"/>
    <w:lvl w:ilvl="0" w:tplc="947CCA66">
      <w:start w:val="1"/>
      <w:numFmt w:val="bullet"/>
      <w:lvlText w:val="●"/>
      <w:lvlJc w:val="left"/>
      <w:pPr>
        <w:ind w:left="720" w:hanging="360"/>
      </w:pPr>
    </w:lvl>
    <w:lvl w:ilvl="1" w:tplc="56D000E8">
      <w:start w:val="1"/>
      <w:numFmt w:val="bullet"/>
      <w:lvlText w:val="○"/>
      <w:lvlJc w:val="left"/>
      <w:pPr>
        <w:ind w:left="1440" w:hanging="360"/>
      </w:pPr>
    </w:lvl>
    <w:lvl w:ilvl="2" w:tplc="3896421E">
      <w:start w:val="1"/>
      <w:numFmt w:val="bullet"/>
      <w:lvlText w:val="■"/>
      <w:lvlJc w:val="left"/>
      <w:pPr>
        <w:ind w:left="2160" w:hanging="360"/>
      </w:pPr>
    </w:lvl>
    <w:lvl w:ilvl="3" w:tplc="DAA8DBDE">
      <w:start w:val="1"/>
      <w:numFmt w:val="bullet"/>
      <w:lvlText w:val="●"/>
      <w:lvlJc w:val="left"/>
      <w:pPr>
        <w:ind w:left="2880" w:hanging="360"/>
      </w:pPr>
    </w:lvl>
    <w:lvl w:ilvl="4" w:tplc="9776FF5A">
      <w:start w:val="1"/>
      <w:numFmt w:val="bullet"/>
      <w:lvlText w:val="○"/>
      <w:lvlJc w:val="left"/>
      <w:pPr>
        <w:ind w:left="3600" w:hanging="360"/>
      </w:pPr>
    </w:lvl>
    <w:lvl w:ilvl="5" w:tplc="D12AE826">
      <w:start w:val="1"/>
      <w:numFmt w:val="bullet"/>
      <w:lvlText w:val="■"/>
      <w:lvlJc w:val="left"/>
      <w:pPr>
        <w:ind w:left="4320" w:hanging="360"/>
      </w:pPr>
    </w:lvl>
    <w:lvl w:ilvl="6" w:tplc="80EC4D52">
      <w:start w:val="1"/>
      <w:numFmt w:val="bullet"/>
      <w:lvlText w:val="●"/>
      <w:lvlJc w:val="left"/>
      <w:pPr>
        <w:ind w:left="5040" w:hanging="360"/>
      </w:pPr>
    </w:lvl>
    <w:lvl w:ilvl="7" w:tplc="BBECE14C">
      <w:start w:val="1"/>
      <w:numFmt w:val="bullet"/>
      <w:lvlText w:val="●"/>
      <w:lvlJc w:val="left"/>
      <w:pPr>
        <w:ind w:left="5760" w:hanging="360"/>
      </w:pPr>
    </w:lvl>
    <w:lvl w:ilvl="8" w:tplc="A906F47C">
      <w:start w:val="1"/>
      <w:numFmt w:val="bullet"/>
      <w:lvlText w:val="●"/>
      <w:lvlJc w:val="left"/>
      <w:pPr>
        <w:ind w:left="6480" w:hanging="360"/>
      </w:pPr>
    </w:lvl>
  </w:abstractNum>
  <w:abstractNum w:abstractNumId="1" w15:restartNumberingAfterBreak="0">
    <w:nsid w:val="490E51BC"/>
    <w:multiLevelType w:val="hybridMultilevel"/>
    <w:tmpl w:val="C5EEF1E6"/>
    <w:lvl w:ilvl="0" w:tplc="8CF2BC8C">
      <w:start w:val="1"/>
      <w:numFmt w:val="bullet"/>
      <w:lvlText w:val="•"/>
      <w:lvlJc w:val="left"/>
      <w:pPr>
        <w:ind w:left="360" w:hanging="200"/>
      </w:pPr>
    </w:lvl>
    <w:lvl w:ilvl="1" w:tplc="F1D03D0A">
      <w:numFmt w:val="decimal"/>
      <w:lvlText w:val=""/>
      <w:lvlJc w:val="left"/>
    </w:lvl>
    <w:lvl w:ilvl="2" w:tplc="19402476">
      <w:numFmt w:val="decimal"/>
      <w:lvlText w:val=""/>
      <w:lvlJc w:val="left"/>
    </w:lvl>
    <w:lvl w:ilvl="3" w:tplc="2C6CAAD2">
      <w:numFmt w:val="decimal"/>
      <w:lvlText w:val=""/>
      <w:lvlJc w:val="left"/>
    </w:lvl>
    <w:lvl w:ilvl="4" w:tplc="E7A44216">
      <w:numFmt w:val="decimal"/>
      <w:lvlText w:val=""/>
      <w:lvlJc w:val="left"/>
    </w:lvl>
    <w:lvl w:ilvl="5" w:tplc="A94C6E62">
      <w:numFmt w:val="decimal"/>
      <w:lvlText w:val=""/>
      <w:lvlJc w:val="left"/>
    </w:lvl>
    <w:lvl w:ilvl="6" w:tplc="27CAD848">
      <w:numFmt w:val="decimal"/>
      <w:lvlText w:val=""/>
      <w:lvlJc w:val="left"/>
    </w:lvl>
    <w:lvl w:ilvl="7" w:tplc="DA00F1CA">
      <w:numFmt w:val="decimal"/>
      <w:lvlText w:val=""/>
      <w:lvlJc w:val="left"/>
    </w:lvl>
    <w:lvl w:ilvl="8" w:tplc="82547460">
      <w:numFmt w:val="decimal"/>
      <w:lvlText w:val=""/>
      <w:lvlJc w:val="left"/>
    </w:lvl>
  </w:abstractNum>
  <w:num w:numId="1" w16cid:durableId="1338121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FA1"/>
    <w:rsid w:val="004747BA"/>
    <w:rsid w:val="0082558E"/>
    <w:rsid w:val="00882860"/>
    <w:rsid w:val="00882FA1"/>
    <w:rsid w:val="009B24DE"/>
    <w:rsid w:val="00BB765A"/>
    <w:rsid w:val="00C47B9C"/>
    <w:rsid w:val="00E758F7"/>
    <w:rsid w:val="00F446E5"/>
    <w:rsid w:val="00FC4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9289D"/>
  <w15:docId w15:val="{AF0CAF0E-D616-4C7B-95C5-E2FCBAFFF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E39C3-EF6A-4961-8A45-53CCCD3DE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1244</Words>
  <Characters>7828</Characters>
  <Application>Microsoft Office Word</Application>
  <DocSecurity>0</DocSecurity>
  <Lines>173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Ping Yeh</cp:lastModifiedBy>
  <cp:revision>5</cp:revision>
  <cp:lastPrinted>2026-02-19T18:57:00Z</cp:lastPrinted>
  <dcterms:created xsi:type="dcterms:W3CDTF">2026-02-19T18:33:00Z</dcterms:created>
  <dcterms:modified xsi:type="dcterms:W3CDTF">2026-02-19T20:11:00Z</dcterms:modified>
</cp:coreProperties>
</file>